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3F45" w14:textId="77777777" w:rsidR="001F5CE9" w:rsidRDefault="001F5CE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760"/>
        <w:gridCol w:w="2800"/>
      </w:tblGrid>
      <w:tr w:rsidR="001F5CE9" w14:paraId="44FDF3D0" w14:textId="77777777">
        <w:tc>
          <w:tcPr>
            <w:tcW w:w="2800" w:type="dxa"/>
            <w:tcBorders>
              <w:top w:val="none" w:sz="0" w:space="0" w:color="FFFFFF"/>
              <w:left w:val="none" w:sz="0" w:space="0" w:color="FFFFFF"/>
              <w:bottom w:val="none" w:sz="0" w:space="0" w:color="FFFFFF"/>
              <w:right w:val="none" w:sz="0" w:space="0" w:color="FFFFFF"/>
            </w:tcBorders>
            <w:shd w:val="clear" w:color="auto" w:fill="FFFFFF"/>
          </w:tcPr>
          <w:p w14:paraId="48281DCC" w14:textId="77777777" w:rsidR="001F5CE9" w:rsidRDefault="001F5CE9"/>
        </w:tc>
        <w:tc>
          <w:tcPr>
            <w:tcW w:w="3760" w:type="dxa"/>
            <w:tcBorders>
              <w:top w:val="single" w:sz="4" w:space="0" w:color="CCCCCC"/>
              <w:left w:val="single" w:sz="4" w:space="0" w:color="CCCCCC"/>
              <w:bottom w:val="single" w:sz="4" w:space="0" w:color="CCCCCC"/>
              <w:right w:val="single" w:sz="4" w:space="0" w:color="CCCCCC"/>
            </w:tcBorders>
            <w:shd w:val="clear" w:color="auto" w:fill="F4F4F4"/>
            <w:tcMar>
              <w:top w:w="120" w:type="dxa"/>
              <w:left w:w="200" w:type="dxa"/>
              <w:bottom w:w="120" w:type="dxa"/>
              <w:right w:w="200" w:type="dxa"/>
            </w:tcMar>
          </w:tcPr>
          <w:p w14:paraId="460BEBE2" w14:textId="191C2095" w:rsidR="001F5CE9" w:rsidRDefault="001F5CE9">
            <w:pPr>
              <w:spacing w:before="80" w:after="40"/>
              <w:jc w:val="center"/>
            </w:pPr>
          </w:p>
          <w:p w14:paraId="52650F99" w14:textId="0E449982" w:rsidR="001F5CE9" w:rsidRDefault="001F5CE9">
            <w:pPr>
              <w:spacing w:after="80"/>
              <w:jc w:val="center"/>
            </w:pPr>
          </w:p>
        </w:tc>
        <w:tc>
          <w:tcPr>
            <w:tcW w:w="2800" w:type="dxa"/>
            <w:tcBorders>
              <w:top w:val="none" w:sz="0" w:space="0" w:color="FFFFFF"/>
              <w:left w:val="none" w:sz="0" w:space="0" w:color="FFFFFF"/>
              <w:bottom w:val="none" w:sz="0" w:space="0" w:color="FFFFFF"/>
              <w:right w:val="none" w:sz="0" w:space="0" w:color="FFFFFF"/>
            </w:tcBorders>
            <w:shd w:val="clear" w:color="auto" w:fill="FFFFFF"/>
          </w:tcPr>
          <w:p w14:paraId="0A1439E6" w14:textId="77777777" w:rsidR="001F5CE9" w:rsidRDefault="001F5CE9"/>
        </w:tc>
      </w:tr>
    </w:tbl>
    <w:p w14:paraId="5D7F426F" w14:textId="77777777" w:rsidR="001F5CE9" w:rsidRDefault="001F5CE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CE9" w14:paraId="339986A5" w14:textId="77777777">
        <w:tc>
          <w:tcPr>
            <w:tcW w:w="9360" w:type="dxa"/>
            <w:tcBorders>
              <w:top w:val="single" w:sz="6" w:space="0" w:color="2D6A4F"/>
              <w:left w:val="single" w:sz="6" w:space="0" w:color="2D6A4F"/>
              <w:bottom w:val="single" w:sz="6" w:space="0" w:color="2D6A4F"/>
              <w:right w:val="single" w:sz="6" w:space="0" w:color="2D6A4F"/>
            </w:tcBorders>
            <w:shd w:val="clear" w:color="auto" w:fill="1B4332"/>
            <w:tcMar>
              <w:top w:w="200" w:type="dxa"/>
              <w:left w:w="400" w:type="dxa"/>
              <w:bottom w:w="80" w:type="dxa"/>
              <w:right w:w="400" w:type="dxa"/>
            </w:tcMar>
          </w:tcPr>
          <w:p w14:paraId="76248E4A" w14:textId="77777777" w:rsidR="001F5CE9" w:rsidRDefault="004B5D01">
            <w:pPr>
              <w:spacing w:after="80"/>
              <w:jc w:val="center"/>
            </w:pPr>
            <w:r>
              <w:rPr>
                <w:b/>
                <w:bCs/>
                <w:caps/>
                <w:color w:val="D8F3DC"/>
              </w:rPr>
              <w:t>PINNACLE MHN | MIDLANDS HEALTH NETWORK</w:t>
            </w:r>
          </w:p>
          <w:p w14:paraId="73739149" w14:textId="77777777" w:rsidR="001F5CE9" w:rsidRDefault="004B5D01">
            <w:pPr>
              <w:spacing w:after="0"/>
              <w:jc w:val="center"/>
            </w:pPr>
            <w:r>
              <w:rPr>
                <w:color w:val="52B788"/>
              </w:rPr>
              <w:t>――――――――――――――――――――</w:t>
            </w:r>
          </w:p>
        </w:tc>
      </w:tr>
      <w:tr w:rsidR="001F5CE9" w14:paraId="049CB44A" w14:textId="77777777">
        <w:tc>
          <w:tcPr>
            <w:tcW w:w="9360" w:type="dxa"/>
            <w:tcBorders>
              <w:top w:val="single" w:sz="6" w:space="0" w:color="2D6A4F"/>
              <w:left w:val="single" w:sz="6" w:space="0" w:color="2D6A4F"/>
              <w:bottom w:val="single" w:sz="6" w:space="0" w:color="2D6A4F"/>
              <w:right w:val="single" w:sz="6" w:space="0" w:color="2D6A4F"/>
            </w:tcBorders>
            <w:shd w:val="clear" w:color="auto" w:fill="2D6A4F"/>
            <w:tcMar>
              <w:top w:w="360" w:type="dxa"/>
              <w:left w:w="400" w:type="dxa"/>
              <w:bottom w:w="360" w:type="dxa"/>
              <w:right w:w="400" w:type="dxa"/>
            </w:tcMar>
          </w:tcPr>
          <w:p w14:paraId="23CF3BCA" w14:textId="77777777" w:rsidR="001F5CE9" w:rsidRDefault="004B5D01">
            <w:pPr>
              <w:spacing w:after="120"/>
              <w:jc w:val="center"/>
            </w:pPr>
            <w:r>
              <w:rPr>
                <w:b/>
                <w:bCs/>
                <w:caps/>
                <w:color w:val="FFFFFF"/>
                <w:sz w:val="40"/>
                <w:szCs w:val="40"/>
              </w:rPr>
              <w:t>POINT-OF-CARE TESTING (POCT)</w:t>
            </w:r>
          </w:p>
          <w:p w14:paraId="603571AC" w14:textId="77777777" w:rsidR="001F5CE9" w:rsidRDefault="004B5D01">
            <w:pPr>
              <w:spacing w:after="120"/>
              <w:jc w:val="center"/>
            </w:pPr>
            <w:r>
              <w:rPr>
                <w:b/>
                <w:bCs/>
                <w:color w:val="FFFFFF"/>
                <w:sz w:val="32"/>
                <w:szCs w:val="32"/>
              </w:rPr>
              <w:t>Implementation Business Case</w:t>
            </w:r>
          </w:p>
          <w:p w14:paraId="7D56C3A6" w14:textId="77777777" w:rsidR="001F5CE9" w:rsidRDefault="004B5D01">
            <w:pPr>
              <w:spacing w:before="80" w:after="0"/>
              <w:jc w:val="center"/>
            </w:pPr>
            <w:r>
              <w:rPr>
                <w:color w:val="D8F3DC"/>
                <w:sz w:val="22"/>
                <w:szCs w:val="22"/>
              </w:rPr>
              <w:t>General Practice | Primary Care</w:t>
            </w:r>
          </w:p>
        </w:tc>
      </w:tr>
      <w:tr w:rsidR="001F5CE9" w14:paraId="1685D2A6" w14:textId="77777777">
        <w:tc>
          <w:tcPr>
            <w:tcW w:w="9360" w:type="dxa"/>
            <w:tcBorders>
              <w:top w:val="single" w:sz="6" w:space="0" w:color="2D6A4F"/>
              <w:left w:val="single" w:sz="6" w:space="0" w:color="2D6A4F"/>
              <w:bottom w:val="single" w:sz="6" w:space="0" w:color="2D6A4F"/>
              <w:right w:val="single" w:sz="6" w:space="0" w:color="2D6A4F"/>
            </w:tcBorders>
            <w:shd w:val="clear" w:color="auto" w:fill="D8F3DC"/>
            <w:tcMar>
              <w:top w:w="120" w:type="dxa"/>
              <w:left w:w="400" w:type="dxa"/>
              <w:bottom w:w="120" w:type="dxa"/>
              <w:right w:w="400" w:type="dxa"/>
            </w:tcMar>
          </w:tcPr>
          <w:p w14:paraId="0ABD2D77" w14:textId="77777777" w:rsidR="001F5CE9" w:rsidRDefault="004B5D01">
            <w:pPr>
              <w:jc w:val="center"/>
            </w:pPr>
            <w:r>
              <w:rPr>
                <w:i/>
                <w:iCs/>
                <w:color w:val="1B4332"/>
              </w:rPr>
              <w:t>Template for submission to a PHO / Health Funder</w:t>
            </w:r>
          </w:p>
        </w:tc>
      </w:tr>
    </w:tbl>
    <w:p w14:paraId="26EEE86C" w14:textId="77777777" w:rsidR="001F5CE9" w:rsidRDefault="001F5CE9">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1F5CE9" w14:paraId="4C641361" w14:textId="77777777">
        <w:trPr>
          <w:tblHeader/>
        </w:trPr>
        <w:tc>
          <w:tcPr>
            <w:tcW w:w="9360" w:type="dxa"/>
            <w:gridSpan w:val="2"/>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365740F7" w14:textId="77777777" w:rsidR="001F5CE9" w:rsidRDefault="004B5D01">
            <w:pPr>
              <w:jc w:val="center"/>
            </w:pPr>
            <w:r>
              <w:rPr>
                <w:b/>
                <w:bCs/>
                <w:color w:val="FFFFFF"/>
              </w:rPr>
              <w:t>Document Details</w:t>
            </w:r>
          </w:p>
        </w:tc>
      </w:tr>
      <w:tr w:rsidR="001F5CE9" w14:paraId="020743E1"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36484D4D" w14:textId="77777777" w:rsidR="001F5CE9" w:rsidRDefault="004B5D01">
            <w:r>
              <w:rPr>
                <w:b/>
                <w:bCs/>
                <w:color w:val="1B4332"/>
              </w:rPr>
              <w:t>Practice Name</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0ECA4D61" w14:textId="77777777" w:rsidR="001F5CE9" w:rsidRDefault="004B5D01">
            <w:r>
              <w:rPr>
                <w:i/>
                <w:iCs/>
                <w:color w:val="8B6914"/>
              </w:rPr>
              <w:t>[Practice Name]</w:t>
            </w:r>
          </w:p>
        </w:tc>
      </w:tr>
      <w:tr w:rsidR="001F5CE9" w14:paraId="4B748D6D"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6BC3C6B5" w14:textId="77777777" w:rsidR="001F5CE9" w:rsidRDefault="004B5D01">
            <w:r>
              <w:rPr>
                <w:b/>
                <w:bCs/>
                <w:color w:val="1B4332"/>
              </w:rPr>
              <w:t>Location / Region</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0AB01E5" w14:textId="77777777" w:rsidR="001F5CE9" w:rsidRDefault="004B5D01">
            <w:r>
              <w:rPr>
                <w:i/>
                <w:iCs/>
                <w:color w:val="8B6914"/>
              </w:rPr>
              <w:t>[Town / City, Region]</w:t>
            </w:r>
          </w:p>
        </w:tc>
      </w:tr>
      <w:tr w:rsidR="001F5CE9" w14:paraId="45C8B25B"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51626344" w14:textId="77777777" w:rsidR="001F5CE9" w:rsidRDefault="004B5D01">
            <w:r>
              <w:rPr>
                <w:b/>
                <w:bCs/>
                <w:color w:val="1B4332"/>
              </w:rPr>
              <w:t>PHO Affiliation</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46870B48" w14:textId="77777777" w:rsidR="001F5CE9" w:rsidRDefault="004B5D01">
            <w:r>
              <w:rPr>
                <w:i/>
                <w:iCs/>
                <w:color w:val="8B6914"/>
              </w:rPr>
              <w:t>[PHO Name, e.g. Pinnacle Incorporated]</w:t>
            </w:r>
          </w:p>
        </w:tc>
      </w:tr>
      <w:tr w:rsidR="001F5CE9" w14:paraId="62B8DC25"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3F6F27CC" w14:textId="77777777" w:rsidR="001F5CE9" w:rsidRDefault="004B5D01">
            <w:r>
              <w:rPr>
                <w:b/>
                <w:bCs/>
                <w:color w:val="1B4332"/>
              </w:rPr>
              <w:t>Prepared by</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65695AD" w14:textId="77777777" w:rsidR="001F5CE9" w:rsidRDefault="004B5D01">
            <w:r>
              <w:rPr>
                <w:i/>
                <w:iCs/>
                <w:color w:val="8B6914"/>
              </w:rPr>
              <w:t>[Name, Role]</w:t>
            </w:r>
          </w:p>
        </w:tc>
      </w:tr>
      <w:tr w:rsidR="001F5CE9" w14:paraId="72F302CF"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68E27086" w14:textId="77777777" w:rsidR="001F5CE9" w:rsidRDefault="004B5D01">
            <w:r>
              <w:rPr>
                <w:b/>
                <w:bCs/>
                <w:color w:val="1B4332"/>
              </w:rPr>
              <w:t>Date of Submission</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203B2E6" w14:textId="77777777" w:rsidR="001F5CE9" w:rsidRDefault="004B5D01">
            <w:r>
              <w:rPr>
                <w:i/>
                <w:iCs/>
                <w:color w:val="8B6914"/>
              </w:rPr>
              <w:t>[DD Month YYYY]</w:t>
            </w:r>
          </w:p>
        </w:tc>
      </w:tr>
      <w:tr w:rsidR="001F5CE9" w14:paraId="2017F098"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6FBFB68F" w14:textId="77777777" w:rsidR="001F5CE9" w:rsidRDefault="004B5D01">
            <w:r>
              <w:rPr>
                <w:b/>
                <w:bCs/>
                <w:color w:val="1B4332"/>
              </w:rPr>
              <w:t>Version</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8CB736D" w14:textId="77777777" w:rsidR="001F5CE9" w:rsidRDefault="004B5D01">
            <w:r>
              <w:rPr>
                <w:i/>
                <w:iCs/>
                <w:color w:val="8B6914"/>
              </w:rPr>
              <w:t>[e.g. v1.0 — Draft / Final]</w:t>
            </w:r>
          </w:p>
        </w:tc>
      </w:tr>
      <w:tr w:rsidR="001F5CE9" w14:paraId="0C3C1BFA"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5175C272" w14:textId="77777777" w:rsidR="001F5CE9" w:rsidRDefault="004B5D01">
            <w:r>
              <w:rPr>
                <w:b/>
                <w:bCs/>
                <w:color w:val="1B4332"/>
              </w:rPr>
              <w:t>Review Date</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DB17757" w14:textId="77777777" w:rsidR="001F5CE9" w:rsidRDefault="004B5D01">
            <w:r>
              <w:rPr>
                <w:i/>
                <w:iCs/>
                <w:color w:val="8B6914"/>
              </w:rPr>
              <w:t>[DD Month YYYY]</w:t>
            </w:r>
          </w:p>
        </w:tc>
      </w:tr>
    </w:tbl>
    <w:p w14:paraId="7909F15A" w14:textId="77777777" w:rsidR="001F5CE9" w:rsidRDefault="001F5CE9">
      <w:pP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CE9" w14:paraId="01FBDC49" w14:textId="77777777" w:rsidTr="01736CFA">
        <w:tc>
          <w:tcPr>
            <w:tcW w:w="9360" w:type="dxa"/>
            <w:tcBorders>
              <w:top w:val="single" w:sz="4" w:space="0" w:color="CCCCCC"/>
              <w:left w:val="single" w:sz="20" w:space="0" w:color="2D6A4F"/>
              <w:bottom w:val="single" w:sz="4" w:space="0" w:color="CCCCCC"/>
              <w:right w:val="none" w:sz="0" w:space="0" w:color="FFFFFF" w:themeColor="background1"/>
            </w:tcBorders>
            <w:shd w:val="clear" w:color="auto" w:fill="D8F3DC"/>
            <w:tcMar>
              <w:top w:w="120" w:type="dxa"/>
              <w:left w:w="200" w:type="dxa"/>
              <w:bottom w:w="120" w:type="dxa"/>
              <w:right w:w="200" w:type="dxa"/>
            </w:tcMar>
          </w:tcPr>
          <w:p w14:paraId="0D7CF7FE" w14:textId="77777777" w:rsidR="001F5CE9" w:rsidRDefault="004B5D01">
            <w:pPr>
              <w:spacing w:after="80"/>
            </w:pPr>
            <w:r>
              <w:rPr>
                <w:b/>
                <w:bCs/>
                <w:color w:val="1B4332"/>
                <w:sz w:val="21"/>
                <w:szCs w:val="21"/>
              </w:rPr>
              <w:t>About This Template</w:t>
            </w:r>
          </w:p>
          <w:p w14:paraId="0E428D24" w14:textId="77777777" w:rsidR="001F5CE9" w:rsidRDefault="004B5D01">
            <w:pPr>
              <w:spacing w:after="60"/>
            </w:pPr>
            <w:r>
              <w:rPr>
                <w:i/>
                <w:iCs/>
                <w:color w:val="3A5A4A"/>
                <w:sz w:val="19"/>
                <w:szCs w:val="19"/>
              </w:rPr>
              <w:t>This business case template has been developed by Pinnacle MHN | Midlands Health Network to support general practices seeking PHO or funder approval to implement a Point-of-Care Testing (POCT) programme.</w:t>
            </w:r>
          </w:p>
          <w:p w14:paraId="2A2D4498" w14:textId="08D6995C" w:rsidR="001F5CE9" w:rsidRDefault="004B5D01" w:rsidP="01736CFA">
            <w:pPr>
              <w:spacing w:after="60"/>
              <w:rPr>
                <w:i/>
                <w:iCs/>
                <w:color w:val="3A5A4A"/>
                <w:sz w:val="19"/>
                <w:szCs w:val="19"/>
              </w:rPr>
            </w:pPr>
            <w:r w:rsidRPr="01736CFA">
              <w:rPr>
                <w:i/>
                <w:iCs/>
                <w:color w:val="3A5A4A"/>
                <w:sz w:val="19"/>
                <w:szCs w:val="19"/>
              </w:rPr>
              <w:t xml:space="preserve">It is designed for use with the Abbott ID Now device for Strep A testing and Rheumatic Fever </w:t>
            </w:r>
            <w:proofErr w:type="gramStart"/>
            <w:r w:rsidRPr="01736CFA">
              <w:rPr>
                <w:i/>
                <w:iCs/>
                <w:color w:val="3A5A4A"/>
                <w:sz w:val="19"/>
                <w:szCs w:val="19"/>
              </w:rPr>
              <w:t>prevention, and</w:t>
            </w:r>
            <w:proofErr w:type="gramEnd"/>
            <w:r w:rsidRPr="01736CFA">
              <w:rPr>
                <w:i/>
                <w:iCs/>
                <w:color w:val="3A5A4A"/>
                <w:sz w:val="19"/>
                <w:szCs w:val="19"/>
              </w:rPr>
              <w:t xml:space="preserve"> draws on real-world implementation experience from practices in South Auckland, Turangi, and South Taranaki</w:t>
            </w:r>
            <w:r w:rsidR="0E362BBE" w:rsidRPr="01736CFA">
              <w:rPr>
                <w:i/>
                <w:iCs/>
                <w:color w:val="3A5A4A"/>
                <w:sz w:val="19"/>
                <w:szCs w:val="19"/>
              </w:rPr>
              <w:t xml:space="preserve">, but can be adapted for other devices. </w:t>
            </w:r>
          </w:p>
          <w:p w14:paraId="25AD3CA2" w14:textId="77777777" w:rsidR="001F5CE9" w:rsidRDefault="004B5D01">
            <w:pPr>
              <w:spacing w:after="60"/>
            </w:pPr>
            <w:r>
              <w:rPr>
                <w:i/>
                <w:iCs/>
                <w:color w:val="3A5A4A"/>
                <w:sz w:val="19"/>
                <w:szCs w:val="19"/>
              </w:rPr>
              <w:t xml:space="preserve">All fields shown in highlighted italics with square brackets </w:t>
            </w:r>
            <w:proofErr w:type="gramStart"/>
            <w:r>
              <w:rPr>
                <w:i/>
                <w:iCs/>
                <w:color w:val="3A5A4A"/>
                <w:sz w:val="19"/>
                <w:szCs w:val="19"/>
              </w:rPr>
              <w:t>[ ]</w:t>
            </w:r>
            <w:proofErr w:type="gramEnd"/>
            <w:r>
              <w:rPr>
                <w:i/>
                <w:iCs/>
                <w:color w:val="3A5A4A"/>
                <w:sz w:val="19"/>
                <w:szCs w:val="19"/>
              </w:rPr>
              <w:t xml:space="preserve"> are placeholder fields to be completed by the practice. Guidance notes are shown in green italics under each section heading.</w:t>
            </w:r>
          </w:p>
        </w:tc>
      </w:tr>
    </w:tbl>
    <w:p w14:paraId="363E904C" w14:textId="77777777" w:rsidR="001F5CE9" w:rsidRDefault="001F5CE9">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1F5CE9" w14:paraId="79B5FCAF" w14:textId="77777777">
        <w:tc>
          <w:tcPr>
            <w:tcW w:w="600" w:type="dxa"/>
            <w:tcBorders>
              <w:top w:val="single" w:sz="6" w:space="0" w:color="2D6A4F"/>
              <w:left w:val="single" w:sz="6" w:space="0" w:color="2D6A4F"/>
              <w:bottom w:val="single" w:sz="6" w:space="0" w:color="2D6A4F"/>
              <w:right w:val="single" w:sz="6" w:space="0" w:color="2D6A4F"/>
            </w:tcBorders>
            <w:shd w:val="clear" w:color="auto" w:fill="2D6A4F"/>
            <w:tcMar>
              <w:top w:w="80" w:type="dxa"/>
              <w:left w:w="120" w:type="dxa"/>
              <w:bottom w:w="80" w:type="dxa"/>
              <w:right w:w="120" w:type="dxa"/>
            </w:tcMar>
            <w:vAlign w:val="center"/>
          </w:tcPr>
          <w:p w14:paraId="19327ACC" w14:textId="77777777" w:rsidR="001F5CE9" w:rsidRDefault="004B5D01">
            <w:pPr>
              <w:jc w:val="center"/>
            </w:pPr>
            <w:r>
              <w:rPr>
                <w:b/>
                <w:bCs/>
                <w:color w:val="FFFFFF"/>
                <w:sz w:val="28"/>
                <w:szCs w:val="28"/>
              </w:rPr>
              <w:t>1</w:t>
            </w:r>
          </w:p>
        </w:tc>
        <w:tc>
          <w:tcPr>
            <w:tcW w:w="87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200" w:type="dxa"/>
              <w:bottom w:w="80" w:type="dxa"/>
              <w:right w:w="120" w:type="dxa"/>
            </w:tcMar>
            <w:vAlign w:val="center"/>
          </w:tcPr>
          <w:p w14:paraId="409D9DA8" w14:textId="77777777" w:rsidR="001F5CE9" w:rsidRDefault="004B5D01">
            <w:r>
              <w:rPr>
                <w:b/>
                <w:bCs/>
                <w:color w:val="FFFFFF"/>
                <w:sz w:val="26"/>
                <w:szCs w:val="26"/>
              </w:rPr>
              <w:t>Practice Details</w:t>
            </w:r>
          </w:p>
        </w:tc>
      </w:tr>
    </w:tbl>
    <w:p w14:paraId="55ABD0CA" w14:textId="77777777" w:rsidR="001F5CE9" w:rsidRDefault="001F5CE9">
      <w:pPr>
        <w:spacing w:before="80" w:after="80"/>
      </w:pPr>
    </w:p>
    <w:p w14:paraId="3B75C1F4" w14:textId="77777777" w:rsidR="001F5CE9" w:rsidRDefault="004B5D01">
      <w:pPr>
        <w:spacing w:before="60"/>
        <w:ind w:left="180"/>
      </w:pPr>
      <w:r>
        <w:rPr>
          <w:i/>
          <w:iCs/>
          <w:color w:val="3A7A5A"/>
          <w:sz w:val="19"/>
          <w:szCs w:val="19"/>
        </w:rPr>
        <w:lastRenderedPageBreak/>
        <w:t>Complete all fields below. This information allows the PHO/funder to understand your practice context and enrolled population. Include accurate population data as this underpins the financial analysis in Section 6.</w:t>
      </w:r>
    </w:p>
    <w:p w14:paraId="2F9E8F0C" w14:textId="77777777" w:rsidR="001F5CE9" w:rsidRDefault="001F5CE9">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1F5CE9" w14:paraId="599A9D7B"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70E29E4A" w14:textId="77777777" w:rsidR="001F5CE9" w:rsidRDefault="004B5D01">
            <w:r>
              <w:rPr>
                <w:b/>
                <w:bCs/>
                <w:color w:val="1B4332"/>
              </w:rPr>
              <w:t>Practice Name</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40DF8268" w14:textId="77777777" w:rsidR="001F5CE9" w:rsidRDefault="004B5D01">
            <w:r>
              <w:rPr>
                <w:i/>
                <w:iCs/>
                <w:color w:val="8B6914"/>
              </w:rPr>
              <w:t>[Practice Name]</w:t>
            </w:r>
          </w:p>
        </w:tc>
      </w:tr>
      <w:tr w:rsidR="001F5CE9" w14:paraId="167902DC"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1B985F63" w14:textId="77777777" w:rsidR="001F5CE9" w:rsidRDefault="004B5D01">
            <w:r>
              <w:rPr>
                <w:b/>
                <w:bCs/>
                <w:color w:val="1B4332"/>
              </w:rPr>
              <w:t>Physical Address</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F901B6D" w14:textId="77777777" w:rsidR="001F5CE9" w:rsidRDefault="004B5D01">
            <w:r>
              <w:rPr>
                <w:i/>
                <w:iCs/>
                <w:color w:val="8B6914"/>
              </w:rPr>
              <w:t>[Street Address, Town, Region, Postcode]</w:t>
            </w:r>
          </w:p>
        </w:tc>
      </w:tr>
      <w:tr w:rsidR="001F5CE9" w14:paraId="06382FC1"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3B6F78BB" w14:textId="77777777" w:rsidR="001F5CE9" w:rsidRDefault="004B5D01">
            <w:r>
              <w:rPr>
                <w:b/>
                <w:bCs/>
                <w:color w:val="1B4332"/>
              </w:rPr>
              <w:t>Practice Type</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E776A5C" w14:textId="77777777" w:rsidR="001F5CE9" w:rsidRDefault="004B5D01">
            <w:r>
              <w:rPr>
                <w:i/>
                <w:iCs/>
                <w:color w:val="8B6914"/>
              </w:rPr>
              <w:t>[e.g. Sole Practitioner / Partnership / Corporate / Iwi Health Provider]</w:t>
            </w:r>
          </w:p>
        </w:tc>
      </w:tr>
      <w:tr w:rsidR="001F5CE9" w14:paraId="7A572A4B"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348CBAE8" w14:textId="77777777" w:rsidR="001F5CE9" w:rsidRDefault="004B5D01">
            <w:r>
              <w:rPr>
                <w:b/>
                <w:bCs/>
                <w:color w:val="1B4332"/>
              </w:rPr>
              <w:t>PHO Affiliation</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15EB2E2D" w14:textId="77777777" w:rsidR="001F5CE9" w:rsidRDefault="004B5D01">
            <w:r>
              <w:rPr>
                <w:i/>
                <w:iCs/>
                <w:color w:val="8B6914"/>
              </w:rPr>
              <w:t>[PHO Name]</w:t>
            </w:r>
          </w:p>
        </w:tc>
      </w:tr>
      <w:tr w:rsidR="001F5CE9" w14:paraId="74C0115B"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7CFE770E" w14:textId="77777777" w:rsidR="001F5CE9" w:rsidRDefault="004B5D01">
            <w:r>
              <w:rPr>
                <w:b/>
                <w:bCs/>
                <w:color w:val="1B4332"/>
              </w:rPr>
              <w:t>Enrolled Population Size</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492A3F02" w14:textId="77777777" w:rsidR="001F5CE9" w:rsidRDefault="004B5D01">
            <w:r>
              <w:rPr>
                <w:i/>
                <w:iCs/>
                <w:color w:val="8B6914"/>
              </w:rPr>
              <w:t>[Total number of enrolled patients, e.g. 4,500]</w:t>
            </w:r>
          </w:p>
        </w:tc>
      </w:tr>
      <w:tr w:rsidR="001F5CE9" w14:paraId="2AEA4886"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0766C3E7" w14:textId="77777777" w:rsidR="001F5CE9" w:rsidRDefault="004B5D01">
            <w:r>
              <w:rPr>
                <w:b/>
                <w:bCs/>
                <w:color w:val="1B4332"/>
              </w:rPr>
              <w:t>High-Risk Population (Māori/Pacific)</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0C76215B" w14:textId="77777777" w:rsidR="001F5CE9" w:rsidRDefault="004B5D01">
            <w:r>
              <w:rPr>
                <w:i/>
                <w:iCs/>
                <w:color w:val="8B6914"/>
              </w:rPr>
              <w:t>[Number or % of enrolled patients who are Māori or Pacific]</w:t>
            </w:r>
          </w:p>
        </w:tc>
      </w:tr>
      <w:tr w:rsidR="001F5CE9" w14:paraId="1F1CD779"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78ECF373" w14:textId="77777777" w:rsidR="001F5CE9" w:rsidRDefault="004B5D01">
            <w:r>
              <w:rPr>
                <w:b/>
                <w:bCs/>
                <w:color w:val="1B4332"/>
              </w:rPr>
              <w:t>Paediatric Population (0–19 yrs)</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5447A84" w14:textId="77777777" w:rsidR="001F5CE9" w:rsidRDefault="004B5D01">
            <w:r>
              <w:rPr>
                <w:i/>
                <w:iCs/>
                <w:color w:val="8B6914"/>
              </w:rPr>
              <w:t>[Number or % of enrolled patients aged 0–19 years]</w:t>
            </w:r>
          </w:p>
        </w:tc>
      </w:tr>
      <w:tr w:rsidR="001F5CE9" w14:paraId="25D729EC"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3082F54E" w14:textId="77777777" w:rsidR="001F5CE9" w:rsidRDefault="004B5D01">
            <w:r>
              <w:rPr>
                <w:b/>
                <w:bCs/>
                <w:color w:val="1B4332"/>
              </w:rPr>
              <w:t>Socioeconomic Profile</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B097B97" w14:textId="77777777" w:rsidR="001F5CE9" w:rsidRDefault="004B5D01">
            <w:r>
              <w:rPr>
                <w:i/>
                <w:iCs/>
                <w:color w:val="8B6914"/>
              </w:rPr>
              <w:t xml:space="preserve">[e.g. </w:t>
            </w:r>
            <w:proofErr w:type="spellStart"/>
            <w:r>
              <w:rPr>
                <w:i/>
                <w:iCs/>
                <w:color w:val="8B6914"/>
              </w:rPr>
              <w:t>NZDep</w:t>
            </w:r>
            <w:proofErr w:type="spellEnd"/>
            <w:r>
              <w:rPr>
                <w:i/>
                <w:iCs/>
                <w:color w:val="8B6914"/>
              </w:rPr>
              <w:t xml:space="preserve"> decile range for enrolled population, or % </w:t>
            </w:r>
            <w:proofErr w:type="gramStart"/>
            <w:r>
              <w:rPr>
                <w:i/>
                <w:iCs/>
                <w:color w:val="8B6914"/>
              </w:rPr>
              <w:t>high-deprivation</w:t>
            </w:r>
            <w:proofErr w:type="gramEnd"/>
            <w:r>
              <w:rPr>
                <w:i/>
                <w:iCs/>
                <w:color w:val="8B6914"/>
              </w:rPr>
              <w:t>]</w:t>
            </w:r>
          </w:p>
        </w:tc>
      </w:tr>
      <w:tr w:rsidR="001F5CE9" w14:paraId="6B8F0CAF"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4A7002F3" w14:textId="77777777" w:rsidR="001F5CE9" w:rsidRDefault="004B5D01">
            <w:r>
              <w:rPr>
                <w:b/>
                <w:bCs/>
                <w:color w:val="1B4332"/>
              </w:rPr>
              <w:t>Current POCT Capability</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462DF14E" w14:textId="77777777" w:rsidR="001F5CE9" w:rsidRDefault="004B5D01">
            <w:r>
              <w:rPr>
                <w:i/>
                <w:iCs/>
                <w:color w:val="8B6914"/>
              </w:rPr>
              <w:t>[Yes / No — describe any existing POCT devices and tests in use]</w:t>
            </w:r>
          </w:p>
        </w:tc>
      </w:tr>
      <w:tr w:rsidR="001F5CE9" w14:paraId="226EFB18"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69E67D1F" w14:textId="77777777" w:rsidR="001F5CE9" w:rsidRDefault="004B5D01">
            <w:r>
              <w:rPr>
                <w:b/>
                <w:bCs/>
                <w:color w:val="1B4332"/>
              </w:rPr>
              <w:t>Practice Owner / Manager</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4A5B0F83" w14:textId="77777777" w:rsidR="001F5CE9" w:rsidRDefault="004B5D01">
            <w:r>
              <w:rPr>
                <w:i/>
                <w:iCs/>
                <w:color w:val="8B6914"/>
              </w:rPr>
              <w:t>[Full Name, Contact Phone, Contact Email]</w:t>
            </w:r>
          </w:p>
        </w:tc>
      </w:tr>
      <w:tr w:rsidR="001F5CE9" w14:paraId="06A8C605"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16A38DC8" w14:textId="77777777" w:rsidR="001F5CE9" w:rsidRDefault="004B5D01">
            <w:r>
              <w:rPr>
                <w:b/>
                <w:bCs/>
                <w:color w:val="1B4332"/>
              </w:rPr>
              <w:t>Clinical Lead</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1B82DEC4" w14:textId="77777777" w:rsidR="001F5CE9" w:rsidRDefault="004B5D01">
            <w:r>
              <w:rPr>
                <w:i/>
                <w:iCs/>
                <w:color w:val="8B6914"/>
              </w:rPr>
              <w:t>[Full Name, Designation, e.g. GP, Nurse Practitioner]</w:t>
            </w:r>
          </w:p>
        </w:tc>
      </w:tr>
      <w:tr w:rsidR="001F5CE9" w14:paraId="723A8B17"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13C165DE" w14:textId="77777777" w:rsidR="001F5CE9" w:rsidRDefault="004B5D01">
            <w:r>
              <w:rPr>
                <w:b/>
                <w:bCs/>
                <w:color w:val="1B4332"/>
              </w:rPr>
              <w:t>POCT Operators (planned)</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7D6DA407" w14:textId="77777777" w:rsidR="001F5CE9" w:rsidRDefault="004B5D01">
            <w:r>
              <w:rPr>
                <w:i/>
                <w:iCs/>
                <w:color w:val="8B6914"/>
              </w:rPr>
              <w:t>[Number and roles of staff who will operate the POCT device]</w:t>
            </w:r>
          </w:p>
        </w:tc>
      </w:tr>
    </w:tbl>
    <w:p w14:paraId="4AF6D66F" w14:textId="77777777" w:rsidR="001F5CE9" w:rsidRDefault="001F5CE9">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1F5CE9" w14:paraId="4AF1ABE2" w14:textId="77777777">
        <w:tc>
          <w:tcPr>
            <w:tcW w:w="600" w:type="dxa"/>
            <w:tcBorders>
              <w:top w:val="single" w:sz="6" w:space="0" w:color="2D6A4F"/>
              <w:left w:val="single" w:sz="6" w:space="0" w:color="2D6A4F"/>
              <w:bottom w:val="single" w:sz="6" w:space="0" w:color="2D6A4F"/>
              <w:right w:val="single" w:sz="6" w:space="0" w:color="2D6A4F"/>
            </w:tcBorders>
            <w:shd w:val="clear" w:color="auto" w:fill="2D6A4F"/>
            <w:tcMar>
              <w:top w:w="80" w:type="dxa"/>
              <w:left w:w="120" w:type="dxa"/>
              <w:bottom w:w="80" w:type="dxa"/>
              <w:right w:w="120" w:type="dxa"/>
            </w:tcMar>
            <w:vAlign w:val="center"/>
          </w:tcPr>
          <w:p w14:paraId="7A8D3B82" w14:textId="77777777" w:rsidR="001F5CE9" w:rsidRDefault="004B5D01">
            <w:pPr>
              <w:jc w:val="center"/>
            </w:pPr>
            <w:r>
              <w:rPr>
                <w:b/>
                <w:bCs/>
                <w:color w:val="FFFFFF"/>
                <w:sz w:val="28"/>
                <w:szCs w:val="28"/>
              </w:rPr>
              <w:t>2</w:t>
            </w:r>
          </w:p>
        </w:tc>
        <w:tc>
          <w:tcPr>
            <w:tcW w:w="87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200" w:type="dxa"/>
              <w:bottom w:w="80" w:type="dxa"/>
              <w:right w:w="120" w:type="dxa"/>
            </w:tcMar>
            <w:vAlign w:val="center"/>
          </w:tcPr>
          <w:p w14:paraId="1730EC9B" w14:textId="77777777" w:rsidR="001F5CE9" w:rsidRDefault="004B5D01">
            <w:r>
              <w:rPr>
                <w:b/>
                <w:bCs/>
                <w:color w:val="FFFFFF"/>
                <w:sz w:val="26"/>
                <w:szCs w:val="26"/>
              </w:rPr>
              <w:t>Problem Definition</w:t>
            </w:r>
          </w:p>
        </w:tc>
      </w:tr>
    </w:tbl>
    <w:p w14:paraId="345BD212" w14:textId="77777777" w:rsidR="001F5CE9" w:rsidRDefault="001F5CE9">
      <w:pPr>
        <w:spacing w:before="80" w:after="80"/>
      </w:pPr>
    </w:p>
    <w:p w14:paraId="4196D5A1" w14:textId="2C4141BC" w:rsidR="001F5CE9" w:rsidRDefault="004B5D01" w:rsidP="01736CFA">
      <w:pPr>
        <w:spacing w:before="60"/>
        <w:ind w:left="180"/>
        <w:rPr>
          <w:i/>
          <w:iCs/>
          <w:color w:val="3A7A5A"/>
          <w:sz w:val="19"/>
          <w:szCs w:val="19"/>
        </w:rPr>
      </w:pPr>
      <w:r w:rsidRPr="01736CFA">
        <w:rPr>
          <w:i/>
          <w:iCs/>
          <w:color w:val="3A7A5A"/>
          <w:sz w:val="19"/>
          <w:szCs w:val="19"/>
        </w:rPr>
        <w:t>Clearly define the clinical and health equity problem this POCT programme will address. A strong problem definition is the foundation of a compelling business case. Draw on your enrolled population data, local epidemiology, and the context from Pinnacle MHN's POCT workshop</w:t>
      </w:r>
      <w:r w:rsidR="1CDE47B6" w:rsidRPr="01736CFA">
        <w:rPr>
          <w:i/>
          <w:iCs/>
          <w:color w:val="3A7A5A"/>
          <w:sz w:val="19"/>
          <w:szCs w:val="19"/>
        </w:rPr>
        <w:t xml:space="preserve"> – example given around POCT Strep A </w:t>
      </w:r>
    </w:p>
    <w:p w14:paraId="528E5A34" w14:textId="77777777" w:rsidR="001F5CE9" w:rsidRDefault="001F5CE9">
      <w:pPr>
        <w:spacing w:before="80" w:after="80"/>
      </w:pPr>
    </w:p>
    <w:p w14:paraId="3A275921" w14:textId="77777777" w:rsidR="001F5CE9" w:rsidRDefault="004B5D01">
      <w:pPr>
        <w:pStyle w:val="Heading2"/>
      </w:pPr>
      <w:proofErr w:type="gramStart"/>
      <w:r>
        <w:t>2.1  Clinical</w:t>
      </w:r>
      <w:proofErr w:type="gramEnd"/>
      <w:r>
        <w:t xml:space="preserve"> Problem</w:t>
      </w:r>
    </w:p>
    <w:p w14:paraId="12931178" w14:textId="77777777" w:rsidR="001F5CE9" w:rsidRDefault="004B5D01">
      <w:pPr>
        <w:spacing w:before="60"/>
        <w:ind w:left="180"/>
      </w:pPr>
      <w:r>
        <w:rPr>
          <w:i/>
          <w:iCs/>
          <w:color w:val="3A7A5A"/>
          <w:sz w:val="19"/>
          <w:szCs w:val="19"/>
        </w:rPr>
        <w:t>Describe the burden of Strep A throat infections in your enrolled population and the associated risk of Rheumatic Fever (</w:t>
      </w:r>
      <w:proofErr w:type="spellStart"/>
      <w:r>
        <w:rPr>
          <w:i/>
          <w:iCs/>
          <w:color w:val="3A7A5A"/>
          <w:sz w:val="19"/>
          <w:szCs w:val="19"/>
        </w:rPr>
        <w:t>RhF</w:t>
      </w:r>
      <w:proofErr w:type="spellEnd"/>
      <w:r>
        <w:rPr>
          <w:i/>
          <w:iCs/>
          <w:color w:val="3A7A5A"/>
          <w:sz w:val="19"/>
          <w:szCs w:val="19"/>
        </w:rPr>
        <w:t xml:space="preserve">) and Rheumatic Heart Disease (RHD). New Zealand has one of the highest rates of </w:t>
      </w:r>
      <w:proofErr w:type="spellStart"/>
      <w:r>
        <w:rPr>
          <w:i/>
          <w:iCs/>
          <w:color w:val="3A7A5A"/>
          <w:sz w:val="19"/>
          <w:szCs w:val="19"/>
        </w:rPr>
        <w:t>RhF</w:t>
      </w:r>
      <w:proofErr w:type="spellEnd"/>
      <w:r>
        <w:rPr>
          <w:i/>
          <w:iCs/>
          <w:color w:val="3A7A5A"/>
          <w:sz w:val="19"/>
          <w:szCs w:val="19"/>
        </w:rPr>
        <w:t xml:space="preserve"> in the developed world — a preventable disease.</w:t>
      </w:r>
    </w:p>
    <w:p w14:paraId="2F11F133" w14:textId="77777777" w:rsidR="001F5CE9" w:rsidRDefault="004B5D01">
      <w:pPr>
        <w:spacing w:before="60" w:after="80"/>
      </w:pPr>
      <w:r>
        <w:rPr>
          <w:i/>
          <w:iCs/>
          <w:color w:val="8B6914"/>
          <w:highlight w:val="yellow"/>
        </w:rPr>
        <w:t>[Describe the prevalence of Strep A sore throat presentations in your practice. Reference your enrolled population demographics, particularly the proportion of high-risk patients (Māori, Pacific, children aged 3–19 years, and those in high-deprivation communities).]</w:t>
      </w:r>
    </w:p>
    <w:p w14:paraId="5E5F0BBD" w14:textId="77777777" w:rsidR="001F5CE9" w:rsidRDefault="001F5CE9">
      <w:pPr>
        <w:spacing w:before="60" w:after="60"/>
      </w:pPr>
    </w:p>
    <w:p w14:paraId="7F52462C" w14:textId="77777777" w:rsidR="001F5CE9" w:rsidRDefault="004B5D01">
      <w:pPr>
        <w:spacing w:before="60" w:after="80"/>
      </w:pPr>
      <w:r>
        <w:rPr>
          <w:b/>
          <w:bCs/>
        </w:rPr>
        <w:t>Key clinical data for this practice: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F5CE9" w14:paraId="75639D48" w14:textId="77777777">
        <w:trPr>
          <w:tblHeader/>
        </w:trPr>
        <w:tc>
          <w:tcPr>
            <w:tcW w:w="468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125AF123" w14:textId="77777777" w:rsidR="001F5CE9" w:rsidRDefault="004B5D01">
            <w:pPr>
              <w:jc w:val="center"/>
            </w:pPr>
            <w:r>
              <w:rPr>
                <w:b/>
                <w:bCs/>
                <w:color w:val="FFFFFF"/>
              </w:rPr>
              <w:t>Clinical Indicator</w:t>
            </w:r>
          </w:p>
        </w:tc>
        <w:tc>
          <w:tcPr>
            <w:tcW w:w="468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45E17573" w14:textId="77777777" w:rsidR="001F5CE9" w:rsidRDefault="004B5D01">
            <w:pPr>
              <w:jc w:val="center"/>
            </w:pPr>
            <w:r>
              <w:rPr>
                <w:b/>
                <w:bCs/>
                <w:color w:val="FFFFFF"/>
              </w:rPr>
              <w:t>Practice Data / Estimate</w:t>
            </w:r>
          </w:p>
        </w:tc>
      </w:tr>
      <w:tr w:rsidR="001F5CE9" w14:paraId="208F5E9B" w14:textId="77777777">
        <w:tc>
          <w:tcPr>
            <w:tcW w:w="468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0995D190" w14:textId="77777777" w:rsidR="001F5CE9" w:rsidRDefault="004B5D01">
            <w:r>
              <w:rPr>
                <w:b/>
                <w:bCs/>
                <w:color w:val="1B4332"/>
              </w:rPr>
              <w:t>Annual sore throat presentations (estimated)</w:t>
            </w:r>
          </w:p>
        </w:tc>
        <w:tc>
          <w:tcPr>
            <w:tcW w:w="468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3954546" w14:textId="77777777" w:rsidR="001F5CE9" w:rsidRDefault="004B5D01">
            <w:r>
              <w:rPr>
                <w:i/>
                <w:iCs/>
                <w:color w:val="8B6914"/>
              </w:rPr>
              <w:t>[Number per year, e.g. based on consult records or national prevalence rates]</w:t>
            </w:r>
          </w:p>
        </w:tc>
      </w:tr>
      <w:tr w:rsidR="001F5CE9" w14:paraId="05DAC2CB" w14:textId="77777777">
        <w:tc>
          <w:tcPr>
            <w:tcW w:w="468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372D216C" w14:textId="77777777" w:rsidR="001F5CE9" w:rsidRDefault="004B5D01">
            <w:r>
              <w:rPr>
                <w:b/>
                <w:bCs/>
                <w:color w:val="1B4332"/>
              </w:rPr>
              <w:lastRenderedPageBreak/>
              <w:t xml:space="preserve">Proportion meeting </w:t>
            </w:r>
            <w:proofErr w:type="spellStart"/>
            <w:r>
              <w:rPr>
                <w:b/>
                <w:bCs/>
                <w:color w:val="1B4332"/>
              </w:rPr>
              <w:t>RhF</w:t>
            </w:r>
            <w:proofErr w:type="spellEnd"/>
            <w:r>
              <w:rPr>
                <w:b/>
                <w:bCs/>
                <w:color w:val="1B4332"/>
              </w:rPr>
              <w:t xml:space="preserve"> high-risk criteria</w:t>
            </w:r>
          </w:p>
        </w:tc>
        <w:tc>
          <w:tcPr>
            <w:tcW w:w="468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9680027" w14:textId="77777777" w:rsidR="001F5CE9" w:rsidRDefault="004B5D01">
            <w:r>
              <w:rPr>
                <w:i/>
                <w:iCs/>
                <w:color w:val="8B6914"/>
              </w:rPr>
              <w:t>[% or number: Aged 3–19 and Māori/Pacific/low-income household]</w:t>
            </w:r>
          </w:p>
        </w:tc>
      </w:tr>
      <w:tr w:rsidR="001F5CE9" w14:paraId="00F07310" w14:textId="77777777">
        <w:tc>
          <w:tcPr>
            <w:tcW w:w="468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346FAB6E" w14:textId="77777777" w:rsidR="001F5CE9" w:rsidRDefault="004B5D01">
            <w:r>
              <w:rPr>
                <w:b/>
                <w:bCs/>
                <w:color w:val="1B4332"/>
              </w:rPr>
              <w:t>Current Strep A testing pathway</w:t>
            </w:r>
          </w:p>
        </w:tc>
        <w:tc>
          <w:tcPr>
            <w:tcW w:w="468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B1071F4" w14:textId="77777777" w:rsidR="001F5CE9" w:rsidRDefault="004B5D01">
            <w:r>
              <w:rPr>
                <w:i/>
                <w:iCs/>
                <w:color w:val="8B6914"/>
              </w:rPr>
              <w:t>[e.g. Throat swab sent to external laboratory — result returned in 24–48 hours]</w:t>
            </w:r>
          </w:p>
        </w:tc>
      </w:tr>
      <w:tr w:rsidR="001F5CE9" w14:paraId="3402388B" w14:textId="77777777">
        <w:tc>
          <w:tcPr>
            <w:tcW w:w="468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237AE2FD" w14:textId="77777777" w:rsidR="001F5CE9" w:rsidRDefault="004B5D01">
            <w:r>
              <w:rPr>
                <w:b/>
                <w:bCs/>
                <w:color w:val="1B4332"/>
              </w:rPr>
              <w:t>Average lab turnaround time</w:t>
            </w:r>
          </w:p>
        </w:tc>
        <w:tc>
          <w:tcPr>
            <w:tcW w:w="468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C62C3E7" w14:textId="77777777" w:rsidR="001F5CE9" w:rsidRDefault="004B5D01">
            <w:r>
              <w:rPr>
                <w:i/>
                <w:iCs/>
                <w:color w:val="8B6914"/>
              </w:rPr>
              <w:t>[e.g. 24–48 hours / next business day]</w:t>
            </w:r>
          </w:p>
        </w:tc>
      </w:tr>
      <w:tr w:rsidR="001F5CE9" w14:paraId="4EE6A637" w14:textId="77777777">
        <w:tc>
          <w:tcPr>
            <w:tcW w:w="468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543FF088" w14:textId="77777777" w:rsidR="001F5CE9" w:rsidRDefault="004B5D01">
            <w:r>
              <w:rPr>
                <w:b/>
                <w:bCs/>
                <w:color w:val="1B4332"/>
              </w:rPr>
              <w:t>Empirical antibiotic prescribing rate</w:t>
            </w:r>
          </w:p>
        </w:tc>
        <w:tc>
          <w:tcPr>
            <w:tcW w:w="468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3FB688D" w14:textId="77777777" w:rsidR="001F5CE9" w:rsidRDefault="004B5D01">
            <w:r>
              <w:rPr>
                <w:i/>
                <w:iCs/>
                <w:color w:val="8B6914"/>
              </w:rPr>
              <w:t>[Estimated % of sore throat presentations where antibiotics prescribed without confirmed Strep A]</w:t>
            </w:r>
          </w:p>
        </w:tc>
      </w:tr>
    </w:tbl>
    <w:p w14:paraId="01836047" w14:textId="77777777" w:rsidR="001F5CE9" w:rsidRDefault="001F5CE9">
      <w:pPr>
        <w:spacing w:before="100"/>
      </w:pPr>
    </w:p>
    <w:p w14:paraId="28114488" w14:textId="77777777" w:rsidR="001F5CE9" w:rsidRDefault="004B5D01">
      <w:pPr>
        <w:pStyle w:val="Heading2"/>
      </w:pPr>
      <w:proofErr w:type="gramStart"/>
      <w:r>
        <w:t>2.2  Health</w:t>
      </w:r>
      <w:proofErr w:type="gramEnd"/>
      <w:r>
        <w:t xml:space="preserve"> Equity Gap</w:t>
      </w:r>
    </w:p>
    <w:p w14:paraId="397EECD9" w14:textId="77777777" w:rsidR="001F5CE9" w:rsidRDefault="004B5D01">
      <w:pPr>
        <w:spacing w:before="60"/>
        <w:ind w:left="180"/>
      </w:pPr>
      <w:r>
        <w:rPr>
          <w:i/>
          <w:iCs/>
          <w:color w:val="3A7A5A"/>
          <w:sz w:val="19"/>
          <w:szCs w:val="19"/>
        </w:rPr>
        <w:t xml:space="preserve">New Zealand has one of the highest rates of Rheumatic Fever in the developed world, disproportionately affecting Māori and Pacific communities. Reference the Pinnacle MHN clinical governance framework and national </w:t>
      </w:r>
      <w:proofErr w:type="spellStart"/>
      <w:r>
        <w:rPr>
          <w:i/>
          <w:iCs/>
          <w:color w:val="3A7A5A"/>
          <w:sz w:val="19"/>
          <w:szCs w:val="19"/>
        </w:rPr>
        <w:t>RhF</w:t>
      </w:r>
      <w:proofErr w:type="spellEnd"/>
      <w:r>
        <w:rPr>
          <w:i/>
          <w:iCs/>
          <w:color w:val="3A7A5A"/>
          <w:sz w:val="19"/>
          <w:szCs w:val="19"/>
        </w:rPr>
        <w:t xml:space="preserve"> prevention strategy here.</w:t>
      </w:r>
    </w:p>
    <w:p w14:paraId="55512533" w14:textId="77777777" w:rsidR="001F5CE9" w:rsidRDefault="004B5D01">
      <w:pPr>
        <w:spacing w:before="60" w:after="80"/>
      </w:pPr>
      <w:r>
        <w:rPr>
          <w:i/>
          <w:iCs/>
          <w:color w:val="8B6914"/>
          <w:highlight w:val="yellow"/>
        </w:rPr>
        <w:t xml:space="preserve">[Describe the specific health equity context for your enrolled population. Reference local Rheumatic Fever notification rates or known cases if available. Reference Pinnacle MHN’s role in supporting </w:t>
      </w:r>
      <w:proofErr w:type="spellStart"/>
      <w:r>
        <w:rPr>
          <w:i/>
          <w:iCs/>
          <w:color w:val="8B6914"/>
          <w:highlight w:val="yellow"/>
        </w:rPr>
        <w:t>RhF</w:t>
      </w:r>
      <w:proofErr w:type="spellEnd"/>
      <w:r>
        <w:rPr>
          <w:i/>
          <w:iCs/>
          <w:color w:val="8B6914"/>
          <w:highlight w:val="yellow"/>
        </w:rPr>
        <w:t xml:space="preserve"> prevention across the Midlands region.]</w:t>
      </w:r>
    </w:p>
    <w:p w14:paraId="250CE806" w14:textId="77777777" w:rsidR="001F5CE9" w:rsidRDefault="001F5CE9">
      <w:pPr>
        <w:spacing w:before="100"/>
      </w:pPr>
    </w:p>
    <w:p w14:paraId="7B2E077E" w14:textId="77777777" w:rsidR="001F5CE9" w:rsidRDefault="004B5D01">
      <w:pPr>
        <w:pStyle w:val="Heading2"/>
      </w:pPr>
      <w:proofErr w:type="gramStart"/>
      <w:r>
        <w:t>2.3  Current</w:t>
      </w:r>
      <w:proofErr w:type="gramEnd"/>
      <w:r>
        <w:t xml:space="preserve"> Pathway Limitations</w:t>
      </w:r>
    </w:p>
    <w:p w14:paraId="2FE25A65" w14:textId="353BF8C0" w:rsidR="001F5CE9" w:rsidRDefault="15E3A135">
      <w:pPr>
        <w:spacing w:before="60"/>
        <w:ind w:left="180"/>
      </w:pPr>
      <w:r w:rsidRPr="01736CFA">
        <w:rPr>
          <w:i/>
          <w:iCs/>
          <w:color w:val="3A7A5A"/>
          <w:sz w:val="19"/>
          <w:szCs w:val="19"/>
        </w:rPr>
        <w:t>A</w:t>
      </w:r>
      <w:r w:rsidR="004B5D01" w:rsidRPr="01736CFA">
        <w:rPr>
          <w:i/>
          <w:iCs/>
          <w:color w:val="3A7A5A"/>
          <w:sz w:val="19"/>
          <w:szCs w:val="19"/>
        </w:rPr>
        <w:t>rticulate why the current laboratory-based testing pathway is inadequate. Consider: lab turnaround time, lost-to-follow-up rates, empirical prescribing, patient experience, and after-hours access gaps.</w:t>
      </w:r>
    </w:p>
    <w:p w14:paraId="19B2A4A4" w14:textId="77777777" w:rsidR="001F5CE9" w:rsidRDefault="004B5D01">
      <w:pPr>
        <w:pStyle w:val="ListParagraph"/>
        <w:numPr>
          <w:ilvl w:val="0"/>
          <w:numId w:val="2"/>
        </w:numPr>
        <w:spacing w:before="40" w:after="40"/>
      </w:pPr>
      <w:r>
        <w:t>Test results returned 24–48 hours after initial consultation, requiring a second contact or follow-up appointment</w:t>
      </w:r>
    </w:p>
    <w:p w14:paraId="7562FA25" w14:textId="77777777" w:rsidR="001F5CE9" w:rsidRDefault="004B5D01">
      <w:pPr>
        <w:pStyle w:val="ListParagraph"/>
        <w:numPr>
          <w:ilvl w:val="0"/>
          <w:numId w:val="2"/>
        </w:numPr>
        <w:spacing w:before="40" w:after="40"/>
      </w:pPr>
      <w:r>
        <w:t>Patients lost to follow-up before results are received — particularly common in high-deprivation communities</w:t>
      </w:r>
    </w:p>
    <w:p w14:paraId="71236416" w14:textId="77777777" w:rsidR="001F5CE9" w:rsidRDefault="004B5D01">
      <w:pPr>
        <w:pStyle w:val="ListParagraph"/>
        <w:numPr>
          <w:ilvl w:val="0"/>
          <w:numId w:val="2"/>
        </w:numPr>
        <w:spacing w:before="40" w:after="40"/>
      </w:pPr>
      <w:r>
        <w:t>Clinicians default to empirical antibiotic prescribing in the absence of a timely result, contributing to antimicrobial resistance</w:t>
      </w:r>
    </w:p>
    <w:p w14:paraId="75C38990" w14:textId="77777777" w:rsidR="001F5CE9" w:rsidRDefault="004B5D01">
      <w:pPr>
        <w:pStyle w:val="ListParagraph"/>
        <w:numPr>
          <w:ilvl w:val="0"/>
          <w:numId w:val="2"/>
        </w:numPr>
        <w:spacing w:before="40" w:after="40"/>
      </w:pPr>
      <w:r>
        <w:t>No same-consultation treatment decision is possible under the current pathway</w:t>
      </w:r>
    </w:p>
    <w:p w14:paraId="698156F7" w14:textId="77777777" w:rsidR="001F5CE9" w:rsidRDefault="004B5D01">
      <w:pPr>
        <w:pStyle w:val="ListParagraph"/>
        <w:numPr>
          <w:ilvl w:val="0"/>
          <w:numId w:val="2"/>
        </w:numPr>
        <w:spacing w:before="40" w:after="40"/>
      </w:pPr>
      <w:r>
        <w:t>High-risk patients requiring prophylactic treatment may not receive it promptly</w:t>
      </w:r>
    </w:p>
    <w:p w14:paraId="21F23319" w14:textId="77777777" w:rsidR="001F5CE9" w:rsidRDefault="004B5D01">
      <w:pPr>
        <w:pStyle w:val="ListParagraph"/>
        <w:numPr>
          <w:ilvl w:val="0"/>
          <w:numId w:val="3"/>
        </w:numPr>
        <w:spacing w:before="40" w:after="40"/>
      </w:pPr>
      <w:r>
        <w:rPr>
          <w:i/>
          <w:iCs/>
          <w:color w:val="8B6914"/>
        </w:rPr>
        <w:t>[Add any practice-specific pathway limitations here]</w:t>
      </w:r>
    </w:p>
    <w:p w14:paraId="639F191A" w14:textId="77777777" w:rsidR="001F5CE9" w:rsidRDefault="001F5CE9">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1F5CE9" w14:paraId="4C9CB8C2" w14:textId="77777777">
        <w:tc>
          <w:tcPr>
            <w:tcW w:w="600" w:type="dxa"/>
            <w:tcBorders>
              <w:top w:val="single" w:sz="6" w:space="0" w:color="2D6A4F"/>
              <w:left w:val="single" w:sz="6" w:space="0" w:color="2D6A4F"/>
              <w:bottom w:val="single" w:sz="6" w:space="0" w:color="2D6A4F"/>
              <w:right w:val="single" w:sz="6" w:space="0" w:color="2D6A4F"/>
            </w:tcBorders>
            <w:shd w:val="clear" w:color="auto" w:fill="2D6A4F"/>
            <w:tcMar>
              <w:top w:w="80" w:type="dxa"/>
              <w:left w:w="120" w:type="dxa"/>
              <w:bottom w:w="80" w:type="dxa"/>
              <w:right w:w="120" w:type="dxa"/>
            </w:tcMar>
            <w:vAlign w:val="center"/>
          </w:tcPr>
          <w:p w14:paraId="6992DE2C" w14:textId="77777777" w:rsidR="001F5CE9" w:rsidRDefault="004B5D01">
            <w:pPr>
              <w:jc w:val="center"/>
            </w:pPr>
            <w:r>
              <w:rPr>
                <w:b/>
                <w:bCs/>
                <w:color w:val="FFFFFF"/>
                <w:sz w:val="28"/>
                <w:szCs w:val="28"/>
              </w:rPr>
              <w:t>3</w:t>
            </w:r>
          </w:p>
        </w:tc>
        <w:tc>
          <w:tcPr>
            <w:tcW w:w="87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200" w:type="dxa"/>
              <w:bottom w:w="80" w:type="dxa"/>
              <w:right w:w="120" w:type="dxa"/>
            </w:tcMar>
            <w:vAlign w:val="center"/>
          </w:tcPr>
          <w:p w14:paraId="4262351F" w14:textId="77777777" w:rsidR="001F5CE9" w:rsidRDefault="004B5D01">
            <w:r>
              <w:rPr>
                <w:b/>
                <w:bCs/>
                <w:color w:val="FFFFFF"/>
                <w:sz w:val="26"/>
                <w:szCs w:val="26"/>
              </w:rPr>
              <w:t>Impact if Not Resolved</w:t>
            </w:r>
          </w:p>
        </w:tc>
      </w:tr>
    </w:tbl>
    <w:p w14:paraId="3368C3CB" w14:textId="77777777" w:rsidR="001F5CE9" w:rsidRDefault="001F5CE9">
      <w:pPr>
        <w:spacing w:before="80" w:after="80"/>
      </w:pPr>
    </w:p>
    <w:p w14:paraId="552C0A00" w14:textId="53C9F26E" w:rsidR="001F5CE9" w:rsidRDefault="004B5D01" w:rsidP="01736CFA">
      <w:pPr>
        <w:spacing w:before="60"/>
        <w:ind w:left="180"/>
        <w:rPr>
          <w:i/>
          <w:iCs/>
          <w:color w:val="3A7A5A"/>
          <w:sz w:val="19"/>
          <w:szCs w:val="19"/>
        </w:rPr>
      </w:pPr>
      <w:r w:rsidRPr="01736CFA">
        <w:rPr>
          <w:i/>
          <w:iCs/>
          <w:color w:val="3A7A5A"/>
          <w:sz w:val="19"/>
          <w:szCs w:val="19"/>
        </w:rPr>
        <w:t xml:space="preserve">This section makes the "cost of inaction" explicit for the funder. Quantify where possible. Draw on </w:t>
      </w:r>
      <w:r w:rsidR="52AFC8BD" w:rsidRPr="01736CFA">
        <w:rPr>
          <w:i/>
          <w:iCs/>
          <w:color w:val="3A7A5A"/>
          <w:sz w:val="19"/>
          <w:szCs w:val="19"/>
        </w:rPr>
        <w:t xml:space="preserve">whatever relaible resources are available – example given around Strep A. </w:t>
      </w:r>
    </w:p>
    <w:p w14:paraId="1588983D" w14:textId="77777777" w:rsidR="001F5CE9" w:rsidRDefault="001F5CE9">
      <w:pPr>
        <w:spacing w:before="80" w:after="80"/>
      </w:pPr>
    </w:p>
    <w:p w14:paraId="344527C4" w14:textId="77777777" w:rsidR="001F5CE9" w:rsidRDefault="004B5D01">
      <w:pPr>
        <w:pStyle w:val="Heading2"/>
      </w:pPr>
      <w:proofErr w:type="gramStart"/>
      <w:r>
        <w:t>3.1  Clinical</w:t>
      </w:r>
      <w:proofErr w:type="gramEnd"/>
      <w:r>
        <w:t xml:space="preserve"> and Patient Outcomes</w:t>
      </w:r>
    </w:p>
    <w:p w14:paraId="5C13483E" w14:textId="77777777" w:rsidR="001F5CE9" w:rsidRDefault="004B5D01">
      <w:pPr>
        <w:pStyle w:val="ListParagraph"/>
        <w:numPr>
          <w:ilvl w:val="0"/>
          <w:numId w:val="2"/>
        </w:numPr>
        <w:spacing w:before="40" w:after="40"/>
      </w:pPr>
      <w:r>
        <w:t>Continued preventable cases of Rheumatic Fever and Rheumatic Heart Disease in high-risk patients</w:t>
      </w:r>
    </w:p>
    <w:p w14:paraId="6AC75BA5" w14:textId="77777777" w:rsidR="001F5CE9" w:rsidRDefault="004B5D01">
      <w:pPr>
        <w:pStyle w:val="ListParagraph"/>
        <w:numPr>
          <w:ilvl w:val="0"/>
          <w:numId w:val="2"/>
        </w:numPr>
        <w:spacing w:before="40" w:after="40"/>
      </w:pPr>
      <w:r>
        <w:t>Ongoing missed diagnoses and delayed treatment, increasing patient harm risk and long-term disease burden</w:t>
      </w:r>
    </w:p>
    <w:p w14:paraId="7D13C312" w14:textId="77777777" w:rsidR="001F5CE9" w:rsidRDefault="004B5D01">
      <w:pPr>
        <w:pStyle w:val="ListParagraph"/>
        <w:numPr>
          <w:ilvl w:val="0"/>
          <w:numId w:val="2"/>
        </w:numPr>
        <w:spacing w:before="40" w:after="40"/>
      </w:pPr>
      <w:r>
        <w:t>Reduced patient confidence and satisfaction with same-day primary care consultations</w:t>
      </w:r>
    </w:p>
    <w:p w14:paraId="7A2F8C96" w14:textId="77777777" w:rsidR="001F5CE9" w:rsidRDefault="004B5D01">
      <w:pPr>
        <w:pStyle w:val="ListParagraph"/>
        <w:numPr>
          <w:ilvl w:val="0"/>
          <w:numId w:val="3"/>
        </w:numPr>
        <w:spacing w:before="40" w:after="40"/>
      </w:pPr>
      <w:r>
        <w:rPr>
          <w:i/>
          <w:iCs/>
          <w:color w:val="8B6914"/>
        </w:rPr>
        <w:t>[Quantify with local data if available: e.g. "X Rheumatic Fever cases recorded from our enrolled population in the last 12 months."]</w:t>
      </w:r>
    </w:p>
    <w:p w14:paraId="0D314ADC" w14:textId="77777777" w:rsidR="001F5CE9" w:rsidRDefault="001F5CE9">
      <w:pPr>
        <w:spacing w:before="80" w:after="80"/>
      </w:pPr>
    </w:p>
    <w:p w14:paraId="371190D8" w14:textId="77777777" w:rsidR="001F5CE9" w:rsidRDefault="004B5D01">
      <w:pPr>
        <w:pStyle w:val="Heading2"/>
      </w:pPr>
      <w:proofErr w:type="gramStart"/>
      <w:r>
        <w:t>3.2  Health</w:t>
      </w:r>
      <w:proofErr w:type="gramEnd"/>
      <w:r>
        <w:t xml:space="preserve"> System Impact</w:t>
      </w:r>
    </w:p>
    <w:p w14:paraId="37EE8DC7" w14:textId="77777777" w:rsidR="001F5CE9" w:rsidRDefault="004B5D01">
      <w:pPr>
        <w:pStyle w:val="ListParagraph"/>
        <w:numPr>
          <w:ilvl w:val="0"/>
          <w:numId w:val="2"/>
        </w:numPr>
        <w:spacing w:before="40" w:after="40"/>
      </w:pPr>
      <w:r>
        <w:lastRenderedPageBreak/>
        <w:t>Avoidable hospital admissions and specialist referrals for Rheumatic Heart Disease complications</w:t>
      </w:r>
    </w:p>
    <w:p w14:paraId="55C1E6EE" w14:textId="77777777" w:rsidR="001F5CE9" w:rsidRDefault="004B5D01">
      <w:pPr>
        <w:pStyle w:val="ListParagraph"/>
        <w:numPr>
          <w:ilvl w:val="0"/>
          <w:numId w:val="2"/>
        </w:numPr>
        <w:spacing w:before="40" w:after="40"/>
      </w:pPr>
      <w:r>
        <w:t xml:space="preserve">Long-term prophylactic penicillin programmes required for patients who develop </w:t>
      </w:r>
      <w:proofErr w:type="spellStart"/>
      <w:r>
        <w:t>RhF</w:t>
      </w:r>
      <w:proofErr w:type="spellEnd"/>
      <w:r>
        <w:t xml:space="preserve"> — a significant ongoing health system cost</w:t>
      </w:r>
    </w:p>
    <w:p w14:paraId="0AC517EC" w14:textId="77777777" w:rsidR="001F5CE9" w:rsidRDefault="004B5D01">
      <w:pPr>
        <w:pStyle w:val="ListParagraph"/>
        <w:numPr>
          <w:ilvl w:val="0"/>
          <w:numId w:val="2"/>
        </w:numPr>
        <w:spacing w:before="40" w:after="40"/>
      </w:pPr>
      <w:r>
        <w:t>Antibiotic stewardship failures driven by empirical prescribing without microbiological confirmation</w:t>
      </w:r>
    </w:p>
    <w:p w14:paraId="46337BF2" w14:textId="77777777" w:rsidR="001F5CE9" w:rsidRDefault="004B5D01">
      <w:pPr>
        <w:pStyle w:val="ListParagraph"/>
        <w:numPr>
          <w:ilvl w:val="0"/>
          <w:numId w:val="3"/>
        </w:numPr>
        <w:spacing w:before="40" w:after="40"/>
      </w:pPr>
      <w:r>
        <w:rPr>
          <w:i/>
          <w:iCs/>
          <w:color w:val="8B6914"/>
        </w:rPr>
        <w:t xml:space="preserve">[Reference national cost-benefit modelling: estimated cost to the health system per preventable </w:t>
      </w:r>
      <w:proofErr w:type="spellStart"/>
      <w:r>
        <w:rPr>
          <w:i/>
          <w:iCs/>
          <w:color w:val="8B6914"/>
        </w:rPr>
        <w:t>RhF</w:t>
      </w:r>
      <w:proofErr w:type="spellEnd"/>
      <w:r>
        <w:rPr>
          <w:i/>
          <w:iCs/>
          <w:color w:val="8B6914"/>
        </w:rPr>
        <w:t xml:space="preserve"> case (Pinnacle MHN national modelling spreadsheet)]</w:t>
      </w:r>
    </w:p>
    <w:p w14:paraId="4026CA22" w14:textId="77777777" w:rsidR="001F5CE9" w:rsidRDefault="001F5CE9">
      <w:pPr>
        <w:spacing w:before="80" w:after="80"/>
      </w:pPr>
    </w:p>
    <w:p w14:paraId="2B253E50" w14:textId="77777777" w:rsidR="001F5CE9" w:rsidRDefault="004B5D01">
      <w:pPr>
        <w:pStyle w:val="Heading2"/>
      </w:pPr>
      <w:proofErr w:type="gramStart"/>
      <w:r>
        <w:t>3.3  Practice</w:t>
      </w:r>
      <w:proofErr w:type="gramEnd"/>
      <w:r>
        <w:t>-Level Impact</w:t>
      </w:r>
    </w:p>
    <w:p w14:paraId="4ED4533C" w14:textId="77777777" w:rsidR="001F5CE9" w:rsidRDefault="004B5D01">
      <w:pPr>
        <w:pStyle w:val="ListParagraph"/>
        <w:numPr>
          <w:ilvl w:val="0"/>
          <w:numId w:val="2"/>
        </w:numPr>
        <w:spacing w:before="40" w:after="40"/>
      </w:pPr>
      <w:r>
        <w:t>Nursing and administrative staff time spent on follow-up calls and result management</w:t>
      </w:r>
    </w:p>
    <w:p w14:paraId="428A0C46" w14:textId="77777777" w:rsidR="001F5CE9" w:rsidRDefault="004B5D01">
      <w:pPr>
        <w:pStyle w:val="ListParagraph"/>
        <w:numPr>
          <w:ilvl w:val="0"/>
          <w:numId w:val="2"/>
        </w:numPr>
        <w:spacing w:before="40" w:after="40"/>
      </w:pPr>
      <w:r>
        <w:t>Missed revenue opportunity from repeat consultations that could be avoided with same-day treatment</w:t>
      </w:r>
    </w:p>
    <w:p w14:paraId="4505AD59" w14:textId="77777777" w:rsidR="001F5CE9" w:rsidRDefault="004B5D01">
      <w:pPr>
        <w:pStyle w:val="ListParagraph"/>
        <w:numPr>
          <w:ilvl w:val="0"/>
          <w:numId w:val="2"/>
        </w:numPr>
        <w:spacing w:before="40" w:after="40"/>
      </w:pPr>
      <w:r>
        <w:t>Reputational and clinical risk of not meeting best-practice standards for Strep A management</w:t>
      </w:r>
    </w:p>
    <w:p w14:paraId="05D819F5" w14:textId="77777777" w:rsidR="001F5CE9" w:rsidRDefault="004B5D01">
      <w:pPr>
        <w:pStyle w:val="ListParagraph"/>
        <w:numPr>
          <w:ilvl w:val="0"/>
          <w:numId w:val="3"/>
        </w:numPr>
        <w:spacing w:before="40" w:after="40"/>
      </w:pPr>
      <w:r>
        <w:rPr>
          <w:i/>
          <w:iCs/>
          <w:color w:val="8B6914"/>
        </w:rPr>
        <w:t>[Add any other practice-specific business or clinical impacts here]</w:t>
      </w:r>
    </w:p>
    <w:p w14:paraId="4E6891B0" w14:textId="77777777" w:rsidR="001F5CE9" w:rsidRDefault="001F5CE9">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1F5CE9" w14:paraId="79A0F246" w14:textId="77777777">
        <w:tc>
          <w:tcPr>
            <w:tcW w:w="600" w:type="dxa"/>
            <w:tcBorders>
              <w:top w:val="single" w:sz="6" w:space="0" w:color="2D6A4F"/>
              <w:left w:val="single" w:sz="6" w:space="0" w:color="2D6A4F"/>
              <w:bottom w:val="single" w:sz="6" w:space="0" w:color="2D6A4F"/>
              <w:right w:val="single" w:sz="6" w:space="0" w:color="2D6A4F"/>
            </w:tcBorders>
            <w:shd w:val="clear" w:color="auto" w:fill="2D6A4F"/>
            <w:tcMar>
              <w:top w:w="80" w:type="dxa"/>
              <w:left w:w="120" w:type="dxa"/>
              <w:bottom w:w="80" w:type="dxa"/>
              <w:right w:w="120" w:type="dxa"/>
            </w:tcMar>
            <w:vAlign w:val="center"/>
          </w:tcPr>
          <w:p w14:paraId="1CA9E3EF" w14:textId="77777777" w:rsidR="001F5CE9" w:rsidRDefault="004B5D01">
            <w:pPr>
              <w:jc w:val="center"/>
            </w:pPr>
            <w:r>
              <w:rPr>
                <w:b/>
                <w:bCs/>
                <w:color w:val="FFFFFF"/>
                <w:sz w:val="28"/>
                <w:szCs w:val="28"/>
              </w:rPr>
              <w:t>4</w:t>
            </w:r>
          </w:p>
        </w:tc>
        <w:tc>
          <w:tcPr>
            <w:tcW w:w="87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200" w:type="dxa"/>
              <w:bottom w:w="80" w:type="dxa"/>
              <w:right w:w="120" w:type="dxa"/>
            </w:tcMar>
            <w:vAlign w:val="center"/>
          </w:tcPr>
          <w:p w14:paraId="3C99F6E1" w14:textId="77777777" w:rsidR="001F5CE9" w:rsidRDefault="004B5D01">
            <w:r>
              <w:rPr>
                <w:b/>
                <w:bCs/>
                <w:color w:val="FFFFFF"/>
                <w:sz w:val="26"/>
                <w:szCs w:val="26"/>
              </w:rPr>
              <w:t>Other Potential Issues</w:t>
            </w:r>
          </w:p>
        </w:tc>
      </w:tr>
    </w:tbl>
    <w:p w14:paraId="2E7B4DC8" w14:textId="77777777" w:rsidR="001F5CE9" w:rsidRDefault="001F5CE9">
      <w:pPr>
        <w:spacing w:before="80" w:after="80"/>
      </w:pPr>
    </w:p>
    <w:p w14:paraId="4B63D024" w14:textId="77777777" w:rsidR="001F5CE9" w:rsidRDefault="004B5D01">
      <w:pPr>
        <w:spacing w:before="60"/>
        <w:ind w:left="180"/>
      </w:pPr>
      <w:r>
        <w:rPr>
          <w:i/>
          <w:iCs/>
          <w:color w:val="3A7A5A"/>
          <w:sz w:val="19"/>
          <w:szCs w:val="19"/>
        </w:rPr>
        <w:t>Consider additional contextual issues the funder should be aware of — including local geography, workforce constraints, cultural factors, or population characteristics that make POCT particularly valuable for your practice setting.</w:t>
      </w:r>
    </w:p>
    <w:p w14:paraId="4F34D0CA" w14:textId="77777777" w:rsidR="001F5CE9" w:rsidRDefault="001F5CE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1F5CE9" w14:paraId="0601B343" w14:textId="77777777" w:rsidTr="01736CFA">
        <w:trPr>
          <w:tblHeader/>
        </w:trPr>
        <w:tc>
          <w:tcPr>
            <w:tcW w:w="320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383ABBD0" w14:textId="77777777" w:rsidR="001F5CE9" w:rsidRDefault="004B5D01">
            <w:pPr>
              <w:jc w:val="center"/>
            </w:pPr>
            <w:r>
              <w:rPr>
                <w:b/>
                <w:bCs/>
                <w:color w:val="FFFFFF"/>
              </w:rPr>
              <w:t>Issue / Factor</w:t>
            </w:r>
          </w:p>
        </w:tc>
        <w:tc>
          <w:tcPr>
            <w:tcW w:w="61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4043D9A7" w14:textId="77777777" w:rsidR="001F5CE9" w:rsidRDefault="004B5D01">
            <w:pPr>
              <w:jc w:val="center"/>
            </w:pPr>
            <w:r>
              <w:rPr>
                <w:b/>
                <w:bCs/>
                <w:color w:val="FFFFFF"/>
              </w:rPr>
              <w:t>Details for This Practice</w:t>
            </w:r>
          </w:p>
        </w:tc>
      </w:tr>
      <w:tr w:rsidR="001F5CE9" w14:paraId="1937F10F" w14:textId="77777777" w:rsidTr="01736CFA">
        <w:tc>
          <w:tcPr>
            <w:tcW w:w="32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0A46D1C8" w14:textId="77777777" w:rsidR="001F5CE9" w:rsidRDefault="004B5D01">
            <w:r>
              <w:rPr>
                <w:b/>
                <w:bCs/>
                <w:color w:val="1B4332"/>
              </w:rPr>
              <w:t>Workforce capacity for follow-up</w:t>
            </w:r>
          </w:p>
        </w:tc>
        <w:tc>
          <w:tcPr>
            <w:tcW w:w="61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9EAA139" w14:textId="77777777" w:rsidR="001F5CE9" w:rsidRDefault="004B5D01">
            <w:r>
              <w:rPr>
                <w:i/>
                <w:iCs/>
                <w:color w:val="8B6914"/>
              </w:rPr>
              <w:t>[Describe current capacity issues with lab result follow-up. e.g. "Approximately X hours per week of nursing time spent managing sore throat follow-up calls."]</w:t>
            </w:r>
          </w:p>
        </w:tc>
      </w:tr>
      <w:tr w:rsidR="001F5CE9" w14:paraId="1D92DD4F" w14:textId="77777777" w:rsidTr="01736CFA">
        <w:tc>
          <w:tcPr>
            <w:tcW w:w="32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12278EC4" w14:textId="77777777" w:rsidR="001F5CE9" w:rsidRDefault="004B5D01">
            <w:r>
              <w:rPr>
                <w:b/>
                <w:bCs/>
                <w:color w:val="1B4332"/>
              </w:rPr>
              <w:t>After-hours and weekend access</w:t>
            </w:r>
          </w:p>
        </w:tc>
        <w:tc>
          <w:tcPr>
            <w:tcW w:w="61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129C9F2B" w14:textId="77777777" w:rsidR="001F5CE9" w:rsidRDefault="004B5D01">
            <w:r>
              <w:rPr>
                <w:i/>
                <w:iCs/>
                <w:color w:val="8B6914"/>
              </w:rPr>
              <w:t>[Describe after-hours access context. POCT enables after-hours clinics and nurse-led clinics to make treatment decisions without waiting for lab results.]</w:t>
            </w:r>
          </w:p>
        </w:tc>
      </w:tr>
      <w:tr w:rsidR="001F5CE9" w14:paraId="4D0D2EE4" w14:textId="77777777" w:rsidTr="01736CFA">
        <w:tc>
          <w:tcPr>
            <w:tcW w:w="32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2640EB61" w14:textId="77777777" w:rsidR="001F5CE9" w:rsidRDefault="004B5D01">
            <w:r>
              <w:rPr>
                <w:b/>
                <w:bCs/>
                <w:color w:val="1B4332"/>
              </w:rPr>
              <w:t>Geographic / transport barriers</w:t>
            </w:r>
          </w:p>
        </w:tc>
        <w:tc>
          <w:tcPr>
            <w:tcW w:w="61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392AD40" w14:textId="6DA0AE5C" w:rsidR="001F5CE9" w:rsidRDefault="004B5D01">
            <w:r w:rsidRPr="01736CFA">
              <w:rPr>
                <w:i/>
                <w:iCs/>
                <w:color w:val="8B6914"/>
              </w:rPr>
              <w:t>[Particularly relevant for rural and remote practices. If patients cannot easily return for follow-up results, same-consultation treatment is especially important.]</w:t>
            </w:r>
          </w:p>
        </w:tc>
      </w:tr>
      <w:tr w:rsidR="001F5CE9" w14:paraId="3110EC72" w14:textId="77777777" w:rsidTr="01736CFA">
        <w:tc>
          <w:tcPr>
            <w:tcW w:w="32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0DCCB4FA" w14:textId="77777777" w:rsidR="001F5CE9" w:rsidRDefault="004B5D01">
            <w:r>
              <w:rPr>
                <w:b/>
                <w:bCs/>
                <w:color w:val="1B4332"/>
              </w:rPr>
              <w:t>Cultural responsiveness</w:t>
            </w:r>
          </w:p>
        </w:tc>
        <w:tc>
          <w:tcPr>
            <w:tcW w:w="61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14:paraId="01478DA0" w14:textId="77777777" w:rsidR="001F5CE9" w:rsidRDefault="004B5D01">
            <w:r>
              <w:rPr>
                <w:i/>
                <w:iCs/>
                <w:color w:val="8B6914"/>
              </w:rPr>
              <w:t>[POCT enables same-consultation care that reduces the number of health system touchpoints required, which may improve engagement for whānau who face cultural, systemic, or access barriers to returning for a second appointment.]</w:t>
            </w:r>
          </w:p>
        </w:tc>
      </w:tr>
      <w:tr w:rsidR="001F5CE9" w14:paraId="4B91B889" w14:textId="77777777" w:rsidTr="01736CFA">
        <w:tc>
          <w:tcPr>
            <w:tcW w:w="32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714BA987" w14:textId="77777777" w:rsidR="001F5CE9" w:rsidRDefault="004B5D01">
            <w:r>
              <w:rPr>
                <w:b/>
                <w:bCs/>
                <w:color w:val="1B4332"/>
              </w:rPr>
              <w:t>[Other issue — add as needed]</w:t>
            </w:r>
          </w:p>
        </w:tc>
        <w:tc>
          <w:tcPr>
            <w:tcW w:w="61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7EB39CC2" w14:textId="77777777" w:rsidR="001F5CE9" w:rsidRDefault="004B5D01">
            <w:r>
              <w:rPr>
                <w:i/>
                <w:iCs/>
                <w:color w:val="8B6914"/>
              </w:rPr>
              <w:t>[Description]</w:t>
            </w:r>
          </w:p>
        </w:tc>
      </w:tr>
    </w:tbl>
    <w:p w14:paraId="30613590" w14:textId="77777777" w:rsidR="001F5CE9" w:rsidRDefault="001F5CE9">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1F5CE9" w14:paraId="569050B2" w14:textId="77777777">
        <w:tc>
          <w:tcPr>
            <w:tcW w:w="600" w:type="dxa"/>
            <w:tcBorders>
              <w:top w:val="single" w:sz="6" w:space="0" w:color="2D6A4F"/>
              <w:left w:val="single" w:sz="6" w:space="0" w:color="2D6A4F"/>
              <w:bottom w:val="single" w:sz="6" w:space="0" w:color="2D6A4F"/>
              <w:right w:val="single" w:sz="6" w:space="0" w:color="2D6A4F"/>
            </w:tcBorders>
            <w:shd w:val="clear" w:color="auto" w:fill="2D6A4F"/>
            <w:tcMar>
              <w:top w:w="80" w:type="dxa"/>
              <w:left w:w="120" w:type="dxa"/>
              <w:bottom w:w="80" w:type="dxa"/>
              <w:right w:w="120" w:type="dxa"/>
            </w:tcMar>
            <w:vAlign w:val="center"/>
          </w:tcPr>
          <w:p w14:paraId="1C50AE54" w14:textId="77777777" w:rsidR="001F5CE9" w:rsidRDefault="004B5D01">
            <w:pPr>
              <w:jc w:val="center"/>
            </w:pPr>
            <w:r>
              <w:rPr>
                <w:b/>
                <w:bCs/>
                <w:color w:val="FFFFFF"/>
                <w:sz w:val="28"/>
                <w:szCs w:val="28"/>
              </w:rPr>
              <w:t>5</w:t>
            </w:r>
          </w:p>
        </w:tc>
        <w:tc>
          <w:tcPr>
            <w:tcW w:w="87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200" w:type="dxa"/>
              <w:bottom w:w="80" w:type="dxa"/>
              <w:right w:w="120" w:type="dxa"/>
            </w:tcMar>
            <w:vAlign w:val="center"/>
          </w:tcPr>
          <w:p w14:paraId="5E3C9E43" w14:textId="77777777" w:rsidR="001F5CE9" w:rsidRDefault="004B5D01">
            <w:r>
              <w:rPr>
                <w:b/>
                <w:bCs/>
                <w:color w:val="FFFFFF"/>
                <w:sz w:val="26"/>
                <w:szCs w:val="26"/>
              </w:rPr>
              <w:t>Options / Solutions</w:t>
            </w:r>
          </w:p>
        </w:tc>
      </w:tr>
    </w:tbl>
    <w:p w14:paraId="7974AD21" w14:textId="77777777" w:rsidR="001F5CE9" w:rsidRDefault="001F5CE9">
      <w:pPr>
        <w:spacing w:before="80" w:after="80"/>
      </w:pPr>
    </w:p>
    <w:p w14:paraId="0C22BD7B" w14:textId="3F314024" w:rsidR="001F5CE9" w:rsidRDefault="004B5D01" w:rsidP="01736CFA">
      <w:pPr>
        <w:spacing w:before="60"/>
        <w:ind w:left="180"/>
        <w:rPr>
          <w:i/>
          <w:iCs/>
          <w:color w:val="3A7A5A"/>
          <w:sz w:val="19"/>
          <w:szCs w:val="19"/>
        </w:rPr>
      </w:pPr>
      <w:r w:rsidRPr="01736CFA">
        <w:rPr>
          <w:i/>
          <w:iCs/>
          <w:color w:val="3A7A5A"/>
          <w:sz w:val="19"/>
          <w:szCs w:val="19"/>
        </w:rPr>
        <w:t xml:space="preserve">Present at least three options including a "do nothing" baseline. This demonstrates rigorous analysis to the funder. </w:t>
      </w:r>
      <w:r w:rsidR="058103E9" w:rsidRPr="01736CFA">
        <w:rPr>
          <w:i/>
          <w:iCs/>
          <w:color w:val="3A7A5A"/>
          <w:sz w:val="19"/>
          <w:szCs w:val="19"/>
        </w:rPr>
        <w:t xml:space="preserve">In the example the </w:t>
      </w:r>
      <w:r w:rsidRPr="01736CFA">
        <w:rPr>
          <w:i/>
          <w:iCs/>
          <w:color w:val="3A7A5A"/>
          <w:sz w:val="19"/>
          <w:szCs w:val="19"/>
        </w:rPr>
        <w:t>preferred solution is implementation of the Abbott ID Now device with the full clinical governance framework — but present options that reflect your practice's specific funding context.</w:t>
      </w:r>
    </w:p>
    <w:p w14:paraId="2BCBE024" w14:textId="77777777" w:rsidR="001F5CE9" w:rsidRDefault="001F5CE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
        <w:gridCol w:w="1600"/>
        <w:gridCol w:w="2080"/>
        <w:gridCol w:w="2580"/>
        <w:gridCol w:w="2580"/>
      </w:tblGrid>
      <w:tr w:rsidR="001F5CE9" w14:paraId="5ECA5A7F" w14:textId="77777777">
        <w:trPr>
          <w:tblHeader/>
        </w:trPr>
        <w:tc>
          <w:tcPr>
            <w:tcW w:w="52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4762915B" w14:textId="77777777" w:rsidR="001F5CE9" w:rsidRDefault="004B5D01">
            <w:pPr>
              <w:jc w:val="center"/>
            </w:pPr>
            <w:r>
              <w:rPr>
                <w:b/>
                <w:bCs/>
                <w:color w:val="FFFFFF"/>
              </w:rPr>
              <w:lastRenderedPageBreak/>
              <w:t>#</w:t>
            </w:r>
          </w:p>
        </w:tc>
        <w:tc>
          <w:tcPr>
            <w:tcW w:w="160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2B6F2674" w14:textId="77777777" w:rsidR="001F5CE9" w:rsidRDefault="004B5D01">
            <w:pPr>
              <w:jc w:val="center"/>
            </w:pPr>
            <w:r>
              <w:rPr>
                <w:b/>
                <w:bCs/>
                <w:color w:val="FFFFFF"/>
              </w:rPr>
              <w:t>Option</w:t>
            </w:r>
          </w:p>
        </w:tc>
        <w:tc>
          <w:tcPr>
            <w:tcW w:w="208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6222F42C" w14:textId="77777777" w:rsidR="001F5CE9" w:rsidRDefault="004B5D01">
            <w:pPr>
              <w:jc w:val="center"/>
            </w:pPr>
            <w:r>
              <w:rPr>
                <w:b/>
                <w:bCs/>
                <w:color w:val="FFFFFF"/>
              </w:rPr>
              <w:t>Description</w:t>
            </w:r>
          </w:p>
        </w:tc>
        <w:tc>
          <w:tcPr>
            <w:tcW w:w="258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71FE397D" w14:textId="77777777" w:rsidR="001F5CE9" w:rsidRDefault="004B5D01">
            <w:pPr>
              <w:jc w:val="center"/>
            </w:pPr>
            <w:r>
              <w:rPr>
                <w:b/>
                <w:bCs/>
                <w:color w:val="FFFFFF"/>
              </w:rPr>
              <w:t>Advantages</w:t>
            </w:r>
          </w:p>
        </w:tc>
        <w:tc>
          <w:tcPr>
            <w:tcW w:w="258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40F053C4" w14:textId="77777777" w:rsidR="001F5CE9" w:rsidRDefault="004B5D01">
            <w:pPr>
              <w:jc w:val="center"/>
            </w:pPr>
            <w:r>
              <w:rPr>
                <w:b/>
                <w:bCs/>
                <w:color w:val="FFFFFF"/>
              </w:rPr>
              <w:t>Disadvantages</w:t>
            </w:r>
          </w:p>
        </w:tc>
      </w:tr>
      <w:tr w:rsidR="001F5CE9" w14:paraId="7156CDE3" w14:textId="77777777">
        <w:tc>
          <w:tcPr>
            <w:tcW w:w="5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13FEA13E" w14:textId="77777777" w:rsidR="001F5CE9" w:rsidRDefault="004B5D01">
            <w:pPr>
              <w:spacing w:before="20" w:after="20"/>
              <w:jc w:val="center"/>
            </w:pPr>
            <w:r>
              <w:rPr>
                <w:b/>
                <w:bCs/>
              </w:rPr>
              <w:t>A</w:t>
            </w:r>
          </w:p>
        </w:tc>
        <w:tc>
          <w:tcPr>
            <w:tcW w:w="16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2A7C789A" w14:textId="77777777" w:rsidR="001F5CE9" w:rsidRDefault="004B5D01">
            <w:pPr>
              <w:spacing w:before="20" w:after="20"/>
            </w:pPr>
            <w:r>
              <w:rPr>
                <w:b/>
                <w:bCs/>
              </w:rPr>
              <w:t>Status Quo (Do Nothing)</w:t>
            </w:r>
          </w:p>
        </w:tc>
        <w:tc>
          <w:tcPr>
            <w:tcW w:w="20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042B84D0" w14:textId="77777777" w:rsidR="001F5CE9" w:rsidRDefault="004B5D01">
            <w:pPr>
              <w:spacing w:before="20" w:after="20"/>
            </w:pPr>
            <w:r>
              <w:t>Continue current pathway: throat swab sent to external lab. Result in 24–48 hours. No POCT device.</w:t>
            </w:r>
          </w:p>
        </w:tc>
        <w:tc>
          <w:tcPr>
            <w:tcW w:w="25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1492E360" w14:textId="77777777" w:rsidR="001F5CE9" w:rsidRDefault="004B5D01">
            <w:pPr>
              <w:spacing w:before="20" w:after="20"/>
            </w:pPr>
            <w:r>
              <w:t>No upfront cost to practice or PHO.</w:t>
            </w:r>
          </w:p>
        </w:tc>
        <w:tc>
          <w:tcPr>
            <w:tcW w:w="25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62299C1C" w14:textId="77777777" w:rsidR="001F5CE9" w:rsidRDefault="004B5D01">
            <w:pPr>
              <w:spacing w:before="20" w:after="20"/>
            </w:pPr>
            <w:r>
              <w:t>Ongoing clinical risk. Antibiotic stewardship failures. Missed diagnoses. Inequitable outcomes. Not consistent with best practice.</w:t>
            </w:r>
          </w:p>
        </w:tc>
      </w:tr>
      <w:tr w:rsidR="001F5CE9" w14:paraId="14079DA5" w14:textId="77777777">
        <w:tc>
          <w:tcPr>
            <w:tcW w:w="5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A257700" w14:textId="77777777" w:rsidR="001F5CE9" w:rsidRDefault="004B5D01">
            <w:pPr>
              <w:spacing w:before="20" w:after="20"/>
              <w:jc w:val="center"/>
            </w:pPr>
            <w:r>
              <w:rPr>
                <w:b/>
                <w:bCs/>
              </w:rPr>
              <w:t>B</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53064D" w14:textId="77777777" w:rsidR="001F5CE9" w:rsidRDefault="004B5D01">
            <w:pPr>
              <w:spacing w:before="20" w:after="20"/>
            </w:pPr>
            <w:r>
              <w:rPr>
                <w:b/>
                <w:bCs/>
              </w:rPr>
              <w:t>POCT — Practice Self-Funded</w:t>
            </w:r>
          </w:p>
        </w:tc>
        <w:tc>
          <w:tcPr>
            <w:tcW w:w="20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E25A6DD" w14:textId="77777777" w:rsidR="001F5CE9" w:rsidRDefault="004B5D01">
            <w:pPr>
              <w:spacing w:before="20" w:after="20"/>
            </w:pPr>
            <w:r>
              <w:t>Practice purchases the ID Now device and funds consumables independently. Pinnacle MHN provides clinical governance framework and training support at no cost.</w:t>
            </w:r>
          </w:p>
        </w:tc>
        <w:tc>
          <w:tcPr>
            <w:tcW w:w="25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57F65E4" w14:textId="77777777" w:rsidR="001F5CE9" w:rsidRDefault="004B5D01">
            <w:pPr>
              <w:spacing w:before="20" w:after="20"/>
            </w:pPr>
            <w:r>
              <w:t>Full practice control. No funder dependency. Can proceed immediately.</w:t>
            </w:r>
          </w:p>
        </w:tc>
        <w:tc>
          <w:tcPr>
            <w:tcW w:w="25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374D476" w14:textId="77777777" w:rsidR="001F5CE9" w:rsidRDefault="004B5D01">
            <w:pPr>
              <w:spacing w:before="20" w:after="20"/>
            </w:pPr>
            <w:r>
              <w:t>Capital outlay and ongoing consumable cost borne entirely by practice. May not be viable for smaller or lower-decile practices.</w:t>
            </w:r>
          </w:p>
        </w:tc>
      </w:tr>
      <w:tr w:rsidR="001F5CE9" w14:paraId="770ED895" w14:textId="77777777">
        <w:tc>
          <w:tcPr>
            <w:tcW w:w="5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03377034" w14:textId="77777777" w:rsidR="001F5CE9" w:rsidRDefault="004B5D01">
            <w:pPr>
              <w:spacing w:before="20" w:after="20"/>
              <w:jc w:val="center"/>
            </w:pPr>
            <w:r>
              <w:rPr>
                <w:b/>
                <w:bCs/>
              </w:rPr>
              <w:t>C</w:t>
            </w:r>
          </w:p>
        </w:tc>
        <w:tc>
          <w:tcPr>
            <w:tcW w:w="16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00D82348" w14:textId="77777777" w:rsidR="001F5CE9" w:rsidRDefault="004B5D01">
            <w:pPr>
              <w:spacing w:before="20" w:after="20"/>
            </w:pPr>
            <w:r>
              <w:rPr>
                <w:b/>
                <w:bCs/>
              </w:rPr>
              <w:t>POCT — PHO Co-Investment</w:t>
            </w:r>
          </w:p>
        </w:tc>
        <w:tc>
          <w:tcPr>
            <w:tcW w:w="20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7ECE30F6" w14:textId="77777777" w:rsidR="001F5CE9" w:rsidRDefault="004B5D01">
            <w:pPr>
              <w:spacing w:before="20" w:after="20"/>
            </w:pPr>
            <w:r>
              <w:t>PHO and practice share the cost of device and/or consumables. Pinnacle MHN clinical governance framework adopted. Ongoing governance reporting to PHO.</w:t>
            </w:r>
          </w:p>
        </w:tc>
        <w:tc>
          <w:tcPr>
            <w:tcW w:w="25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473939DB" w14:textId="77777777" w:rsidR="001F5CE9" w:rsidRDefault="004B5D01">
            <w:pPr>
              <w:spacing w:before="20" w:after="20"/>
            </w:pPr>
            <w:r>
              <w:t>Shared financial risk. Supported implementation pathway. Aligned with PHO population health goals.</w:t>
            </w:r>
          </w:p>
        </w:tc>
        <w:tc>
          <w:tcPr>
            <w:tcW w:w="25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796D742D" w14:textId="77777777" w:rsidR="001F5CE9" w:rsidRDefault="004B5D01">
            <w:pPr>
              <w:spacing w:before="20" w:after="20"/>
            </w:pPr>
            <w:r>
              <w:t>Requires PHO approval and funding allocation. Contractual reporting requirements.</w:t>
            </w:r>
          </w:p>
        </w:tc>
      </w:tr>
      <w:tr w:rsidR="001F5CE9" w14:paraId="0873BAD8" w14:textId="77777777">
        <w:tc>
          <w:tcPr>
            <w:tcW w:w="5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F97BE19" w14:textId="77777777" w:rsidR="001F5CE9" w:rsidRDefault="004B5D01">
            <w:pPr>
              <w:spacing w:before="20" w:after="20"/>
              <w:jc w:val="center"/>
            </w:pPr>
            <w:r>
              <w:rPr>
                <w:b/>
                <w:bCs/>
              </w:rPr>
              <w:t>D</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648332" w14:textId="77777777" w:rsidR="001F5CE9" w:rsidRDefault="004B5D01">
            <w:pPr>
              <w:spacing w:before="20" w:after="20"/>
            </w:pPr>
            <w:r>
              <w:rPr>
                <w:b/>
                <w:bCs/>
              </w:rPr>
              <w:t>POCT — Full PHO/Funder Funding</w:t>
            </w:r>
          </w:p>
        </w:tc>
        <w:tc>
          <w:tcPr>
            <w:tcW w:w="20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0A0541" w14:textId="77777777" w:rsidR="001F5CE9" w:rsidRDefault="004B5D01">
            <w:pPr>
              <w:spacing w:before="20" w:after="20"/>
            </w:pPr>
            <w:r>
              <w:t>PHO or health funder fully funds device acquisition and consumables. Practice implements using Pinnacle MHN clinical governance framework.</w:t>
            </w:r>
          </w:p>
        </w:tc>
        <w:tc>
          <w:tcPr>
            <w:tcW w:w="25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D7884A1" w14:textId="77777777" w:rsidR="001F5CE9" w:rsidRDefault="004B5D01">
            <w:pPr>
              <w:spacing w:before="20" w:after="20"/>
            </w:pPr>
            <w:r>
              <w:t>No cost to practice. Maximises equity of access, especially for high-deprivation practices.</w:t>
            </w:r>
          </w:p>
        </w:tc>
        <w:tc>
          <w:tcPr>
            <w:tcW w:w="25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84CB30" w14:textId="77777777" w:rsidR="001F5CE9" w:rsidRDefault="004B5D01">
            <w:pPr>
              <w:spacing w:before="20" w:after="20"/>
            </w:pPr>
            <w:r>
              <w:t>Dependent on funder prioritisation and budget availability. May have a longer approval timeline.</w:t>
            </w:r>
          </w:p>
        </w:tc>
      </w:tr>
    </w:tbl>
    <w:p w14:paraId="5AD3B21B" w14:textId="77777777" w:rsidR="001F5CE9" w:rsidRDefault="001F5CE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CE9" w14:paraId="7A128601" w14:textId="77777777" w:rsidTr="01736CFA">
        <w:tc>
          <w:tcPr>
            <w:tcW w:w="9360" w:type="dxa"/>
            <w:tcBorders>
              <w:top w:val="single" w:sz="4" w:space="0" w:color="CCCCCC"/>
              <w:left w:val="single" w:sz="20" w:space="0" w:color="2D6A4F"/>
              <w:bottom w:val="single" w:sz="4" w:space="0" w:color="CCCCCC"/>
              <w:right w:val="none" w:sz="0" w:space="0" w:color="FFFFFF" w:themeColor="background1"/>
            </w:tcBorders>
            <w:shd w:val="clear" w:color="auto" w:fill="D8F3DC"/>
            <w:tcMar>
              <w:top w:w="120" w:type="dxa"/>
              <w:left w:w="200" w:type="dxa"/>
              <w:bottom w:w="120" w:type="dxa"/>
              <w:right w:w="200" w:type="dxa"/>
            </w:tcMar>
          </w:tcPr>
          <w:p w14:paraId="06649426" w14:textId="77777777" w:rsidR="001F5CE9" w:rsidRDefault="004B5D01">
            <w:pPr>
              <w:spacing w:after="80"/>
            </w:pPr>
            <w:r>
              <w:rPr>
                <w:b/>
                <w:bCs/>
                <w:color w:val="1B4332"/>
                <w:sz w:val="21"/>
                <w:szCs w:val="21"/>
              </w:rPr>
              <w:t>Recommended Option</w:t>
            </w:r>
          </w:p>
          <w:p w14:paraId="5B941D37" w14:textId="77777777" w:rsidR="001F5CE9" w:rsidRDefault="004B5D01">
            <w:pPr>
              <w:spacing w:after="60"/>
            </w:pPr>
            <w:r>
              <w:rPr>
                <w:i/>
                <w:iCs/>
                <w:color w:val="3A5A4A"/>
                <w:sz w:val="19"/>
                <w:szCs w:val="19"/>
              </w:rPr>
              <w:t>[State your preferred option here, e.g. "Option C — PHO Co-Investment." Provide one to two sentences of rationale referencing your enrolled population, high-risk demographics, and alignment with the national Rheumatic Fever prevention strategy.]</w:t>
            </w:r>
          </w:p>
          <w:p w14:paraId="5C31B5A6" w14:textId="1FB717C0" w:rsidR="001F5CE9" w:rsidRDefault="004B5D01" w:rsidP="01736CFA">
            <w:pPr>
              <w:spacing w:after="60"/>
              <w:rPr>
                <w:i/>
                <w:iCs/>
                <w:color w:val="3A5A4A"/>
                <w:sz w:val="19"/>
                <w:szCs w:val="19"/>
              </w:rPr>
            </w:pPr>
            <w:r w:rsidRPr="01736CFA">
              <w:rPr>
                <w:i/>
                <w:iCs/>
                <w:color w:val="3A5A4A"/>
                <w:sz w:val="19"/>
                <w:szCs w:val="19"/>
              </w:rPr>
              <w:t xml:space="preserve">Proposed Device: [Abbott ID Now Strep A — specify intended tests, e.g. Strep A / Influenza A+B / RSV. The ID Now platform delivers results in approximately </w:t>
            </w:r>
            <w:r w:rsidR="384EFAA3" w:rsidRPr="01736CFA">
              <w:rPr>
                <w:i/>
                <w:iCs/>
                <w:color w:val="3A5A4A"/>
                <w:sz w:val="19"/>
                <w:szCs w:val="19"/>
              </w:rPr>
              <w:t xml:space="preserve">6 </w:t>
            </w:r>
            <w:r w:rsidRPr="01736CFA">
              <w:rPr>
                <w:i/>
                <w:iCs/>
                <w:color w:val="3A5A4A"/>
                <w:sz w:val="19"/>
                <w:szCs w:val="19"/>
              </w:rPr>
              <w:t>minutes, at point of care, with accuracy equivalent to standard laboratory PCR testing.]</w:t>
            </w:r>
          </w:p>
        </w:tc>
      </w:tr>
    </w:tbl>
    <w:p w14:paraId="33ABD95D" w14:textId="77777777" w:rsidR="001F5CE9" w:rsidRDefault="001F5CE9">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1F5CE9" w14:paraId="5777214C" w14:textId="77777777">
        <w:tc>
          <w:tcPr>
            <w:tcW w:w="600" w:type="dxa"/>
            <w:tcBorders>
              <w:top w:val="single" w:sz="6" w:space="0" w:color="2D6A4F"/>
              <w:left w:val="single" w:sz="6" w:space="0" w:color="2D6A4F"/>
              <w:bottom w:val="single" w:sz="6" w:space="0" w:color="2D6A4F"/>
              <w:right w:val="single" w:sz="6" w:space="0" w:color="2D6A4F"/>
            </w:tcBorders>
            <w:shd w:val="clear" w:color="auto" w:fill="2D6A4F"/>
            <w:tcMar>
              <w:top w:w="80" w:type="dxa"/>
              <w:left w:w="120" w:type="dxa"/>
              <w:bottom w:w="80" w:type="dxa"/>
              <w:right w:w="120" w:type="dxa"/>
            </w:tcMar>
            <w:vAlign w:val="center"/>
          </w:tcPr>
          <w:p w14:paraId="62BE8825" w14:textId="77777777" w:rsidR="001F5CE9" w:rsidRDefault="004B5D01">
            <w:pPr>
              <w:jc w:val="center"/>
            </w:pPr>
            <w:r>
              <w:rPr>
                <w:b/>
                <w:bCs/>
                <w:color w:val="FFFFFF"/>
                <w:sz w:val="28"/>
                <w:szCs w:val="28"/>
              </w:rPr>
              <w:t>6</w:t>
            </w:r>
          </w:p>
        </w:tc>
        <w:tc>
          <w:tcPr>
            <w:tcW w:w="87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200" w:type="dxa"/>
              <w:bottom w:w="80" w:type="dxa"/>
              <w:right w:w="120" w:type="dxa"/>
            </w:tcMar>
            <w:vAlign w:val="center"/>
          </w:tcPr>
          <w:p w14:paraId="4279D898" w14:textId="77777777" w:rsidR="001F5CE9" w:rsidRDefault="004B5D01">
            <w:r>
              <w:rPr>
                <w:b/>
                <w:bCs/>
                <w:color w:val="FFFFFF"/>
                <w:sz w:val="26"/>
                <w:szCs w:val="26"/>
              </w:rPr>
              <w:t>Financial Summary</w:t>
            </w:r>
          </w:p>
        </w:tc>
      </w:tr>
    </w:tbl>
    <w:p w14:paraId="104557E6" w14:textId="77777777" w:rsidR="001F5CE9" w:rsidRDefault="001F5CE9">
      <w:pPr>
        <w:spacing w:before="80" w:after="80"/>
      </w:pPr>
    </w:p>
    <w:p w14:paraId="4F49CCA0" w14:textId="5692CB90" w:rsidR="001F5CE9" w:rsidRDefault="004B5D01">
      <w:pPr>
        <w:spacing w:before="60"/>
        <w:ind w:left="180"/>
      </w:pPr>
      <w:r w:rsidRPr="01736CFA">
        <w:rPr>
          <w:i/>
          <w:iCs/>
          <w:color w:val="3A7A5A"/>
          <w:sz w:val="19"/>
          <w:szCs w:val="19"/>
        </w:rPr>
        <w:t xml:space="preserve">Complete this section using your actual or estimated figures. The </w:t>
      </w:r>
      <w:r w:rsidR="6ED5D0DF" w:rsidRPr="01736CFA">
        <w:rPr>
          <w:i/>
          <w:iCs/>
          <w:color w:val="3A7A5A"/>
          <w:sz w:val="19"/>
          <w:szCs w:val="19"/>
        </w:rPr>
        <w:t xml:space="preserve">exmple </w:t>
      </w:r>
      <w:r w:rsidRPr="01736CFA">
        <w:rPr>
          <w:i/>
          <w:iCs/>
          <w:color w:val="3A7A5A"/>
          <w:sz w:val="19"/>
          <w:szCs w:val="19"/>
        </w:rPr>
        <w:t xml:space="preserve">ncludes </w:t>
      </w:r>
      <w:r w:rsidR="7AF94FC5" w:rsidRPr="01736CFA">
        <w:rPr>
          <w:i/>
          <w:iCs/>
          <w:color w:val="3A7A5A"/>
          <w:sz w:val="19"/>
          <w:szCs w:val="19"/>
        </w:rPr>
        <w:t xml:space="preserve">information from a </w:t>
      </w:r>
      <w:r w:rsidRPr="01736CFA">
        <w:rPr>
          <w:i/>
          <w:iCs/>
          <w:color w:val="3A7A5A"/>
          <w:sz w:val="19"/>
          <w:szCs w:val="19"/>
        </w:rPr>
        <w:t>national cost-benefit modelling spreadsheet that can assist with population-level projections. Practices in South Auckland, Turangi, and South Taranaki have demonstrated that POCT can be cost-neutral to cost-positive with appropriate volume and cost-recovery mechanisms.</w:t>
      </w:r>
    </w:p>
    <w:p w14:paraId="5D3BE732" w14:textId="77777777" w:rsidR="001F5CE9" w:rsidRDefault="001F5CE9">
      <w:pPr>
        <w:spacing w:before="80" w:after="80"/>
      </w:pPr>
    </w:p>
    <w:p w14:paraId="5E215788" w14:textId="77777777" w:rsidR="001F5CE9" w:rsidRDefault="004B5D01">
      <w:pPr>
        <w:pStyle w:val="Heading2"/>
      </w:pPr>
      <w:proofErr w:type="gramStart"/>
      <w:r>
        <w:lastRenderedPageBreak/>
        <w:t>6.1  Cost</w:t>
      </w:r>
      <w:proofErr w:type="gramEnd"/>
      <w:r>
        <w:t xml:space="preserve">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0"/>
        <w:gridCol w:w="2700"/>
        <w:gridCol w:w="2700"/>
      </w:tblGrid>
      <w:tr w:rsidR="001F5CE9" w14:paraId="6C37EC9E" w14:textId="77777777">
        <w:trPr>
          <w:tblHeader/>
        </w:trPr>
        <w:tc>
          <w:tcPr>
            <w:tcW w:w="39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4027EB9A" w14:textId="77777777" w:rsidR="001F5CE9" w:rsidRDefault="004B5D01">
            <w:pPr>
              <w:jc w:val="center"/>
            </w:pPr>
            <w:r>
              <w:rPr>
                <w:b/>
                <w:bCs/>
                <w:color w:val="FFFFFF"/>
              </w:rPr>
              <w:t>Cost Item</w:t>
            </w:r>
          </w:p>
        </w:tc>
        <w:tc>
          <w:tcPr>
            <w:tcW w:w="270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56863BB3" w14:textId="77777777" w:rsidR="001F5CE9" w:rsidRDefault="004B5D01">
            <w:pPr>
              <w:jc w:val="center"/>
            </w:pPr>
            <w:r>
              <w:rPr>
                <w:b/>
                <w:bCs/>
                <w:color w:val="FFFFFF"/>
              </w:rPr>
              <w:t>Unit Cost</w:t>
            </w:r>
          </w:p>
        </w:tc>
        <w:tc>
          <w:tcPr>
            <w:tcW w:w="270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76AD2A2D" w14:textId="77777777" w:rsidR="001F5CE9" w:rsidRDefault="004B5D01">
            <w:pPr>
              <w:jc w:val="center"/>
            </w:pPr>
            <w:r>
              <w:rPr>
                <w:b/>
                <w:bCs/>
                <w:color w:val="FFFFFF"/>
              </w:rPr>
              <w:t>Annual / Total Estimate</w:t>
            </w:r>
          </w:p>
        </w:tc>
      </w:tr>
      <w:tr w:rsidR="001F5CE9" w14:paraId="20D86EC1" w14:textId="77777777">
        <w:tc>
          <w:tcPr>
            <w:tcW w:w="396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387D555F" w14:textId="77777777" w:rsidR="001F5CE9" w:rsidRDefault="004B5D01">
            <w:r>
              <w:rPr>
                <w:b/>
                <w:bCs/>
                <w:color w:val="1B4332"/>
              </w:rPr>
              <w:t>Device Acquisition Cost (capital or lease)</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B40ED9C" w14:textId="77777777" w:rsidR="001F5CE9" w:rsidRDefault="004B5D01">
            <w:r>
              <w:rPr>
                <w:i/>
                <w:iCs/>
                <w:color w:val="8B6914"/>
              </w:rPr>
              <w:t>[$ Device Cost]</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44E85A2E" w14:textId="77777777" w:rsidR="001F5CE9" w:rsidRDefault="004B5D01">
            <w:r>
              <w:rPr>
                <w:i/>
                <w:iCs/>
                <w:color w:val="8B6914"/>
              </w:rPr>
              <w:t>[$ Total, or $/year if leased]</w:t>
            </w:r>
          </w:p>
        </w:tc>
      </w:tr>
      <w:tr w:rsidR="001F5CE9" w14:paraId="775CBBF4" w14:textId="77777777">
        <w:tc>
          <w:tcPr>
            <w:tcW w:w="396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2A1DA600" w14:textId="77777777" w:rsidR="001F5CE9" w:rsidRDefault="004B5D01">
            <w:r>
              <w:rPr>
                <w:b/>
                <w:bCs/>
                <w:color w:val="1B4332"/>
              </w:rPr>
              <w:t>Cost per Test (consumable cartridge)</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4E761734" w14:textId="77777777" w:rsidR="001F5CE9" w:rsidRDefault="004B5D01">
            <w:r>
              <w:rPr>
                <w:i/>
                <w:iCs/>
                <w:color w:val="8B6914"/>
              </w:rPr>
              <w:t>[$ Cost per Test]</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365117D" w14:textId="77777777" w:rsidR="001F5CE9" w:rsidRDefault="004B5D01">
            <w:r>
              <w:rPr>
                <w:i/>
                <w:iCs/>
                <w:color w:val="8B6914"/>
              </w:rPr>
              <w:t>[$ Annual = Cost/Test × Annual Volume]</w:t>
            </w:r>
          </w:p>
        </w:tc>
      </w:tr>
      <w:tr w:rsidR="001F5CE9" w14:paraId="206FF9F4" w14:textId="77777777">
        <w:tc>
          <w:tcPr>
            <w:tcW w:w="396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3BA36DC9" w14:textId="77777777" w:rsidR="001F5CE9" w:rsidRDefault="004B5D01">
            <w:r>
              <w:rPr>
                <w:b/>
                <w:bCs/>
                <w:color w:val="1B4332"/>
              </w:rPr>
              <w:t>Estimated Annual Test Volume</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07B79250" w14:textId="77777777" w:rsidR="001F5CE9" w:rsidRDefault="004B5D01">
            <w:r>
              <w:rPr>
                <w:i/>
                <w:iCs/>
                <w:color w:val="8B6914"/>
              </w:rPr>
              <w:t>[Tests per year]</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874B5D2" w14:textId="77777777" w:rsidR="001F5CE9" w:rsidRDefault="004B5D01">
            <w:r>
              <w:rPr>
                <w:i/>
                <w:iCs/>
                <w:color w:val="8B6914"/>
              </w:rPr>
              <w:t>[Based on enrolled population and estimated Strep A prevalence]</w:t>
            </w:r>
          </w:p>
        </w:tc>
      </w:tr>
      <w:tr w:rsidR="001F5CE9" w14:paraId="0D0B9EAA" w14:textId="77777777">
        <w:tc>
          <w:tcPr>
            <w:tcW w:w="396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02D4D61E" w14:textId="77777777" w:rsidR="001F5CE9" w:rsidRDefault="004B5D01">
            <w:r>
              <w:rPr>
                <w:b/>
                <w:bCs/>
                <w:color w:val="1B4332"/>
              </w:rPr>
              <w:t>Quality Control (QC) materials</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A26F386" w14:textId="77777777" w:rsidR="001F5CE9" w:rsidRDefault="004B5D01">
            <w:r>
              <w:rPr>
                <w:i/>
                <w:iCs/>
                <w:color w:val="8B6914"/>
              </w:rPr>
              <w:t>[$ per QC run]</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03591F1F" w14:textId="77777777" w:rsidR="001F5CE9" w:rsidRDefault="004B5D01">
            <w:r>
              <w:rPr>
                <w:i/>
                <w:iCs/>
                <w:color w:val="8B6914"/>
              </w:rPr>
              <w:t>[$ Annual QC cost]</w:t>
            </w:r>
          </w:p>
        </w:tc>
      </w:tr>
      <w:tr w:rsidR="001F5CE9" w14:paraId="03184E65" w14:textId="77777777">
        <w:tc>
          <w:tcPr>
            <w:tcW w:w="396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11D28E4B" w14:textId="77777777" w:rsidR="001F5CE9" w:rsidRDefault="004B5D01">
            <w:r>
              <w:rPr>
                <w:b/>
                <w:bCs/>
                <w:color w:val="1B4332"/>
              </w:rPr>
              <w:t>Staff Training (initial, one-off)</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5A97F01" w14:textId="77777777" w:rsidR="001F5CE9" w:rsidRDefault="004B5D01">
            <w:r>
              <w:rPr>
                <w:i/>
                <w:iCs/>
                <w:color w:val="8B6914"/>
              </w:rPr>
              <w:t>[$ or hours × hourly rate]</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627A2633" w14:textId="77777777" w:rsidR="001F5CE9" w:rsidRDefault="004B5D01">
            <w:r>
              <w:rPr>
                <w:i/>
                <w:iCs/>
                <w:color w:val="8B6914"/>
              </w:rPr>
              <w:t>[One-off cost at implementation]</w:t>
            </w:r>
          </w:p>
        </w:tc>
      </w:tr>
      <w:tr w:rsidR="001F5CE9" w14:paraId="2F0DA8B4" w14:textId="77777777">
        <w:tc>
          <w:tcPr>
            <w:tcW w:w="396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56842054" w14:textId="77777777" w:rsidR="001F5CE9" w:rsidRDefault="004B5D01">
            <w:r>
              <w:rPr>
                <w:b/>
                <w:bCs/>
                <w:color w:val="1B4332"/>
              </w:rPr>
              <w:t>Ongoing Clinical Governance &amp; Reporting</w:t>
            </w:r>
          </w:p>
        </w:tc>
        <w:tc>
          <w:tcPr>
            <w:tcW w:w="27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25D913BB" w14:textId="77777777" w:rsidR="001F5CE9" w:rsidRDefault="004B5D01">
            <w:pPr>
              <w:spacing w:before="20" w:after="20"/>
            </w:pPr>
            <w:r>
              <w:rPr>
                <w:i/>
                <w:iCs/>
              </w:rPr>
              <w:t>Supported by Pinnacle MHN at no direct cost to practice</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13D6B5EB" w14:textId="77777777" w:rsidR="001F5CE9" w:rsidRDefault="004B5D01">
            <w:r>
              <w:rPr>
                <w:i/>
                <w:iCs/>
                <w:color w:val="8B6914"/>
              </w:rPr>
              <w:t>[Any practice time cost: hours/month]</w:t>
            </w:r>
          </w:p>
        </w:tc>
      </w:tr>
      <w:tr w:rsidR="001F5CE9" w14:paraId="33DE945C" w14:textId="77777777">
        <w:tc>
          <w:tcPr>
            <w:tcW w:w="3960" w:type="dxa"/>
            <w:tcBorders>
              <w:top w:val="single" w:sz="4" w:space="0" w:color="CCCCCC"/>
              <w:left w:val="single" w:sz="4" w:space="0" w:color="CCCCCC"/>
              <w:bottom w:val="single" w:sz="4" w:space="0" w:color="CCCCCC"/>
              <w:right w:val="single" w:sz="4" w:space="0" w:color="CCCCCC"/>
            </w:tcBorders>
            <w:shd w:val="clear" w:color="auto" w:fill="1B4332"/>
            <w:tcMar>
              <w:top w:w="80" w:type="dxa"/>
              <w:left w:w="120" w:type="dxa"/>
              <w:bottom w:w="80" w:type="dxa"/>
              <w:right w:w="120" w:type="dxa"/>
            </w:tcMar>
          </w:tcPr>
          <w:p w14:paraId="3A0DBAF0" w14:textId="77777777" w:rsidR="001F5CE9" w:rsidRDefault="004B5D01">
            <w:r>
              <w:rPr>
                <w:b/>
                <w:bCs/>
                <w:color w:val="FFFFFF"/>
              </w:rPr>
              <w:t>TOTAL ESTIMATED ANNUAL COST</w:t>
            </w:r>
          </w:p>
        </w:tc>
        <w:tc>
          <w:tcPr>
            <w:tcW w:w="2700" w:type="dxa"/>
            <w:tcBorders>
              <w:top w:val="none" w:sz="0" w:space="0" w:color="FFFFFF"/>
              <w:left w:val="none" w:sz="0" w:space="0" w:color="FFFFFF"/>
              <w:bottom w:val="none" w:sz="0" w:space="0" w:color="FFFFFF"/>
              <w:right w:val="none" w:sz="0" w:space="0" w:color="FFFFFF"/>
            </w:tcBorders>
            <w:shd w:val="clear" w:color="auto" w:fill="1B4332"/>
          </w:tcPr>
          <w:p w14:paraId="3BC94FD8" w14:textId="77777777" w:rsidR="001F5CE9" w:rsidRDefault="001F5CE9"/>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508F653" w14:textId="77777777" w:rsidR="001F5CE9" w:rsidRDefault="004B5D01">
            <w:r>
              <w:rPr>
                <w:i/>
                <w:iCs/>
                <w:color w:val="8B6914"/>
              </w:rPr>
              <w:t>[$ Total Annual Cost]</w:t>
            </w:r>
          </w:p>
        </w:tc>
      </w:tr>
    </w:tbl>
    <w:p w14:paraId="7CEE6ED3" w14:textId="77777777" w:rsidR="001F5CE9" w:rsidRDefault="001F5CE9">
      <w:pPr>
        <w:spacing w:before="120" w:after="120"/>
      </w:pPr>
    </w:p>
    <w:p w14:paraId="739D5EC9" w14:textId="55160183" w:rsidR="01736CFA" w:rsidRDefault="01736CFA" w:rsidP="01736CFA">
      <w:pPr>
        <w:spacing w:before="120" w:after="120"/>
      </w:pPr>
    </w:p>
    <w:p w14:paraId="3BF6F59F" w14:textId="2BEEEB4F" w:rsidR="01736CFA" w:rsidRDefault="01736CFA" w:rsidP="01736CFA">
      <w:pPr>
        <w:spacing w:before="120" w:after="120"/>
      </w:pPr>
    </w:p>
    <w:p w14:paraId="4310D8EE" w14:textId="3912B447" w:rsidR="01736CFA" w:rsidRDefault="01736CFA" w:rsidP="01736CFA">
      <w:pPr>
        <w:spacing w:before="120" w:after="120"/>
      </w:pPr>
    </w:p>
    <w:p w14:paraId="54969D6F" w14:textId="33B838B3" w:rsidR="01736CFA" w:rsidRDefault="01736CFA" w:rsidP="01736CFA">
      <w:pPr>
        <w:spacing w:before="120" w:after="120"/>
      </w:pPr>
    </w:p>
    <w:p w14:paraId="62F74D8F" w14:textId="77DC5429" w:rsidR="01736CFA" w:rsidRDefault="01736CFA" w:rsidP="01736CFA">
      <w:pPr>
        <w:spacing w:before="120" w:after="120"/>
      </w:pPr>
    </w:p>
    <w:p w14:paraId="3B09E01A" w14:textId="4277E413" w:rsidR="01736CFA" w:rsidRDefault="01736CFA" w:rsidP="01736CFA">
      <w:pPr>
        <w:spacing w:before="120" w:after="120"/>
      </w:pPr>
    </w:p>
    <w:p w14:paraId="246FDA17" w14:textId="5D3B98FC" w:rsidR="01736CFA" w:rsidRDefault="01736CFA" w:rsidP="01736CFA">
      <w:pPr>
        <w:spacing w:before="120" w:after="120"/>
      </w:pPr>
    </w:p>
    <w:p w14:paraId="621E99F3" w14:textId="77777777" w:rsidR="001F5CE9" w:rsidRDefault="004B5D01">
      <w:pPr>
        <w:pStyle w:val="Heading2"/>
      </w:pPr>
      <w:proofErr w:type="gramStart"/>
      <w:r>
        <w:t>6.2  Revenue</w:t>
      </w:r>
      <w:proofErr w:type="gramEnd"/>
      <w:r>
        <w:t xml:space="preserve"> / Cost Recovery</w:t>
      </w:r>
    </w:p>
    <w:p w14:paraId="2AEE6683" w14:textId="73C22967" w:rsidR="004B5D01" w:rsidRDefault="004B5D01" w:rsidP="01736CFA">
      <w:pPr>
        <w:spacing w:before="60"/>
        <w:ind w:left="180"/>
      </w:pPr>
      <w:r w:rsidRPr="01736CFA">
        <w:rPr>
          <w:i/>
          <w:iCs/>
          <w:color w:val="3A7A5A"/>
          <w:sz w:val="19"/>
          <w:szCs w:val="19"/>
        </w:rPr>
        <w:t xml:space="preserve">Describe how the practice will recover costs. This may include consultation fees, funded programme payments, or capitation adjustments. Reference the business experience from </w:t>
      </w:r>
      <w:r w:rsidR="2869783B" w:rsidRPr="01736CFA">
        <w:rPr>
          <w:i/>
          <w:iCs/>
          <w:color w:val="3A7A5A"/>
          <w:sz w:val="19"/>
          <w:szCs w:val="19"/>
        </w:rPr>
        <w:t>other practices / services if available.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0"/>
        <w:gridCol w:w="2700"/>
        <w:gridCol w:w="2700"/>
      </w:tblGrid>
      <w:tr w:rsidR="001F5CE9" w14:paraId="2ADA219C" w14:textId="77777777" w:rsidTr="01736CFA">
        <w:tc>
          <w:tcPr>
            <w:tcW w:w="396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6D71CF0A" w14:textId="77777777" w:rsidR="001F5CE9" w:rsidRDefault="004B5D01">
            <w:r>
              <w:rPr>
                <w:b/>
                <w:bCs/>
                <w:color w:val="1B4332"/>
              </w:rPr>
              <w:t>Consultation fee (standard / funded)</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4220A74C" w14:textId="77777777" w:rsidR="001F5CE9" w:rsidRDefault="004B5D01">
            <w:r>
              <w:rPr>
                <w:i/>
                <w:iCs/>
                <w:color w:val="8B6914"/>
              </w:rPr>
              <w:t>[$ per consult]</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79BEE167" w14:textId="77777777" w:rsidR="001F5CE9" w:rsidRDefault="004B5D01">
            <w:r>
              <w:rPr>
                <w:i/>
                <w:iCs/>
                <w:color w:val="8B6914"/>
              </w:rPr>
              <w:t>[$ = Rate × Estimated Annual Volume]</w:t>
            </w:r>
          </w:p>
        </w:tc>
      </w:tr>
      <w:tr w:rsidR="001F5CE9" w14:paraId="616B0A43" w14:textId="77777777" w:rsidTr="01736CFA">
        <w:tc>
          <w:tcPr>
            <w:tcW w:w="396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0D481473" w14:textId="77777777" w:rsidR="001F5CE9" w:rsidRDefault="004B5D01">
            <w:r>
              <w:rPr>
                <w:b/>
                <w:bCs/>
                <w:color w:val="1B4332"/>
              </w:rPr>
              <w:t>Funded programme payments (if applicable)</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1452ACA" w14:textId="77777777" w:rsidR="001F5CE9" w:rsidRDefault="004B5D01">
            <w:r>
              <w:rPr>
                <w:i/>
                <w:iCs/>
                <w:color w:val="8B6914"/>
              </w:rPr>
              <w:t>[$ per patient / episode — confirm with PHO]</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758744E5" w14:textId="77777777" w:rsidR="001F5CE9" w:rsidRDefault="004B5D01">
            <w:r>
              <w:rPr>
                <w:i/>
                <w:iCs/>
                <w:color w:val="8B6914"/>
              </w:rPr>
              <w:t xml:space="preserve">[e.g. </w:t>
            </w:r>
            <w:proofErr w:type="spellStart"/>
            <w:r>
              <w:rPr>
                <w:i/>
                <w:iCs/>
                <w:color w:val="8B6914"/>
              </w:rPr>
              <w:t>RhF</w:t>
            </w:r>
            <w:proofErr w:type="spellEnd"/>
            <w:r>
              <w:rPr>
                <w:i/>
                <w:iCs/>
                <w:color w:val="8B6914"/>
              </w:rPr>
              <w:t xml:space="preserve"> prevention programme payment]</w:t>
            </w:r>
          </w:p>
        </w:tc>
      </w:tr>
      <w:tr w:rsidR="001F5CE9" w14:paraId="3DD60824" w14:textId="77777777" w:rsidTr="01736CFA">
        <w:tc>
          <w:tcPr>
            <w:tcW w:w="396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62759CF5" w14:textId="77777777" w:rsidR="001F5CE9" w:rsidRDefault="004B5D01">
            <w:r>
              <w:rPr>
                <w:b/>
                <w:bCs/>
                <w:color w:val="1B4332"/>
              </w:rPr>
              <w:t>Avoided cost: repeat consultations</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5133D11" w14:textId="77777777" w:rsidR="001F5CE9" w:rsidRDefault="004B5D01">
            <w:r>
              <w:rPr>
                <w:i/>
                <w:iCs/>
                <w:color w:val="8B6914"/>
              </w:rPr>
              <w:t>[$ per avoided consultation]</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E1A9BC0" w14:textId="77777777" w:rsidR="001F5CE9" w:rsidRDefault="004B5D01">
            <w:r>
              <w:rPr>
                <w:i/>
                <w:iCs/>
                <w:color w:val="8B6914"/>
              </w:rPr>
              <w:t>[Same-day treatment reduces need for follow-up appointments]</w:t>
            </w:r>
          </w:p>
        </w:tc>
      </w:tr>
      <w:tr w:rsidR="001F5CE9" w14:paraId="4999B9CD" w14:textId="77777777" w:rsidTr="01736CFA">
        <w:tc>
          <w:tcPr>
            <w:tcW w:w="396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57031C6D" w14:textId="77777777" w:rsidR="001F5CE9" w:rsidRDefault="004B5D01">
            <w:r>
              <w:rPr>
                <w:b/>
                <w:bCs/>
                <w:color w:val="1B4332"/>
              </w:rPr>
              <w:t>Staff time saved: follow-up calls</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D666926" w14:textId="77777777" w:rsidR="001F5CE9" w:rsidRDefault="004B5D01">
            <w:r>
              <w:rPr>
                <w:i/>
                <w:iCs/>
                <w:color w:val="8B6914"/>
              </w:rPr>
              <w:t>[Hours per week]</w:t>
            </w:r>
          </w:p>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4CDCB1B1" w14:textId="77777777" w:rsidR="001F5CE9" w:rsidRDefault="004B5D01">
            <w:r>
              <w:rPr>
                <w:i/>
                <w:iCs/>
                <w:color w:val="8B6914"/>
              </w:rPr>
              <w:t>[Hours × hourly rate × 52 weeks]</w:t>
            </w:r>
          </w:p>
        </w:tc>
      </w:tr>
      <w:tr w:rsidR="001F5CE9" w14:paraId="02225274" w14:textId="77777777" w:rsidTr="01736CFA">
        <w:tc>
          <w:tcPr>
            <w:tcW w:w="3960" w:type="dxa"/>
            <w:tcBorders>
              <w:top w:val="single" w:sz="4" w:space="0" w:color="CCCCCC"/>
              <w:left w:val="single" w:sz="4" w:space="0" w:color="CCCCCC"/>
              <w:bottom w:val="single" w:sz="4" w:space="0" w:color="CCCCCC"/>
              <w:right w:val="single" w:sz="4" w:space="0" w:color="CCCCCC"/>
            </w:tcBorders>
            <w:shd w:val="clear" w:color="auto" w:fill="1B4332"/>
            <w:tcMar>
              <w:top w:w="80" w:type="dxa"/>
              <w:left w:w="120" w:type="dxa"/>
              <w:bottom w:w="80" w:type="dxa"/>
              <w:right w:w="120" w:type="dxa"/>
            </w:tcMar>
          </w:tcPr>
          <w:p w14:paraId="2979D9E5" w14:textId="77777777" w:rsidR="001F5CE9" w:rsidRDefault="004B5D01">
            <w:r>
              <w:rPr>
                <w:b/>
                <w:bCs/>
                <w:color w:val="FFFFFF"/>
              </w:rPr>
              <w:t>TOTAL ESTIMATED ANNUAL REVENUE / SAVINGS</w:t>
            </w:r>
          </w:p>
        </w:tc>
        <w:tc>
          <w:tcPr>
            <w:tcW w:w="27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1B4332"/>
          </w:tcPr>
          <w:p w14:paraId="42A8F9A9" w14:textId="77777777" w:rsidR="001F5CE9" w:rsidRDefault="001F5CE9"/>
        </w:tc>
        <w:tc>
          <w:tcPr>
            <w:tcW w:w="27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677EAF92" w14:textId="77777777" w:rsidR="001F5CE9" w:rsidRDefault="004B5D01">
            <w:r>
              <w:rPr>
                <w:i/>
                <w:iCs/>
                <w:color w:val="8B6914"/>
              </w:rPr>
              <w:t>[$ Total Annual Revenue / Savings]</w:t>
            </w:r>
          </w:p>
        </w:tc>
      </w:tr>
    </w:tbl>
    <w:p w14:paraId="79C1DA85" w14:textId="77777777" w:rsidR="001F5CE9" w:rsidRDefault="001F5CE9">
      <w:pPr>
        <w:spacing w:before="120" w:after="120"/>
      </w:pPr>
    </w:p>
    <w:p w14:paraId="1CE90ADF" w14:textId="77777777" w:rsidR="001F5CE9" w:rsidRDefault="004B5D01">
      <w:pPr>
        <w:pStyle w:val="Heading2"/>
      </w:pPr>
      <w:proofErr w:type="gramStart"/>
      <w:r>
        <w:t>6.3  Net</w:t>
      </w:r>
      <w:proofErr w:type="gramEnd"/>
      <w:r>
        <w:t xml:space="preserve"> Position &amp; Break-Even Analysis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4320"/>
      </w:tblGrid>
      <w:tr w:rsidR="001F5CE9" w14:paraId="28C5CE25" w14:textId="77777777" w:rsidTr="01736CFA">
        <w:trPr>
          <w:tblHeader/>
        </w:trPr>
        <w:tc>
          <w:tcPr>
            <w:tcW w:w="504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3352BC4B" w14:textId="77777777" w:rsidR="001F5CE9" w:rsidRDefault="004B5D01">
            <w:pPr>
              <w:jc w:val="center"/>
            </w:pPr>
            <w:r>
              <w:rPr>
                <w:b/>
                <w:bCs/>
                <w:color w:val="FFFFFF"/>
              </w:rPr>
              <w:lastRenderedPageBreak/>
              <w:t>Financial Indicator</w:t>
            </w:r>
          </w:p>
        </w:tc>
        <w:tc>
          <w:tcPr>
            <w:tcW w:w="432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080E5454" w14:textId="77777777" w:rsidR="001F5CE9" w:rsidRDefault="004B5D01">
            <w:pPr>
              <w:jc w:val="center"/>
            </w:pPr>
            <w:r>
              <w:rPr>
                <w:b/>
                <w:bCs/>
                <w:color w:val="FFFFFF"/>
              </w:rPr>
              <w:t>Estimated Figure</w:t>
            </w:r>
          </w:p>
        </w:tc>
      </w:tr>
      <w:tr w:rsidR="001F5CE9" w14:paraId="61EB51F7" w14:textId="77777777" w:rsidTr="01736CFA">
        <w:tc>
          <w:tcPr>
            <w:tcW w:w="504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47821AB0" w14:textId="77777777" w:rsidR="001F5CE9" w:rsidRDefault="004B5D01">
            <w:r>
              <w:rPr>
                <w:b/>
                <w:bCs/>
                <w:color w:val="1B4332"/>
              </w:rPr>
              <w:t>Estimated Net Annual Position (Revenue minus Cost)</w:t>
            </w:r>
          </w:p>
        </w:tc>
        <w:tc>
          <w:tcPr>
            <w:tcW w:w="43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6546A315" w14:textId="77777777" w:rsidR="001F5CE9" w:rsidRDefault="004B5D01">
            <w:r>
              <w:rPr>
                <w:i/>
                <w:iCs/>
                <w:color w:val="8B6914"/>
              </w:rPr>
              <w:t>[Positive = surplus; Negative = shortfall. State whether practice is seeking PHO subsidy to close any gap.]</w:t>
            </w:r>
          </w:p>
        </w:tc>
      </w:tr>
      <w:tr w:rsidR="001F5CE9" w14:paraId="41A2065C" w14:textId="77777777" w:rsidTr="01736CFA">
        <w:tc>
          <w:tcPr>
            <w:tcW w:w="504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1BB45BCE" w14:textId="77777777" w:rsidR="001F5CE9" w:rsidRDefault="004B5D01">
            <w:r>
              <w:rPr>
                <w:b/>
                <w:bCs/>
                <w:color w:val="1B4332"/>
              </w:rPr>
              <w:t>Break-Even Volume (tests per year)</w:t>
            </w:r>
          </w:p>
        </w:tc>
        <w:tc>
          <w:tcPr>
            <w:tcW w:w="43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7132B6F7" w14:textId="77777777" w:rsidR="001F5CE9" w:rsidRDefault="004B5D01">
            <w:r>
              <w:rPr>
                <w:i/>
                <w:iCs/>
                <w:color w:val="8B6914"/>
              </w:rPr>
              <w:t>[Total Annual Cost ÷ Revenue per test]</w:t>
            </w:r>
          </w:p>
        </w:tc>
      </w:tr>
      <w:tr w:rsidR="001F5CE9" w14:paraId="256ABC8B" w14:textId="77777777" w:rsidTr="01736CFA">
        <w:tc>
          <w:tcPr>
            <w:tcW w:w="504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7FDACF29" w14:textId="77777777" w:rsidR="001F5CE9" w:rsidRDefault="004B5D01">
            <w:r>
              <w:rPr>
                <w:b/>
                <w:bCs/>
                <w:color w:val="1B4332"/>
              </w:rPr>
              <w:t>Break-Even Volume (as % of estimated annual demand)</w:t>
            </w:r>
          </w:p>
        </w:tc>
        <w:tc>
          <w:tcPr>
            <w:tcW w:w="43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084A4CA3" w14:textId="77777777" w:rsidR="001F5CE9" w:rsidRDefault="004B5D01">
            <w:r>
              <w:rPr>
                <w:i/>
                <w:iCs/>
                <w:color w:val="8B6914"/>
              </w:rPr>
              <w:t>[Break-even volume ÷ Estimated Annual Volume × 100%]</w:t>
            </w:r>
          </w:p>
        </w:tc>
      </w:tr>
      <w:tr w:rsidR="001F5CE9" w14:paraId="3FF792A7" w14:textId="77777777" w:rsidTr="01736CFA">
        <w:tc>
          <w:tcPr>
            <w:tcW w:w="504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0ACFE43C" w14:textId="77777777" w:rsidR="001F5CE9" w:rsidRDefault="004B5D01">
            <w:r>
              <w:rPr>
                <w:b/>
                <w:bCs/>
                <w:color w:val="1B4332"/>
              </w:rPr>
              <w:t>Funding Requested from PHO / Funder</w:t>
            </w:r>
          </w:p>
        </w:tc>
        <w:tc>
          <w:tcPr>
            <w:tcW w:w="43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64738D10" w14:textId="77777777" w:rsidR="001F5CE9" w:rsidRDefault="004B5D01">
            <w:r>
              <w:rPr>
                <w:i/>
                <w:iCs/>
                <w:color w:val="8B6914"/>
              </w:rPr>
              <w:t>[$ amount and description: e.g. device cost, annual consumable budget, or co-payment per test]</w:t>
            </w:r>
          </w:p>
        </w:tc>
      </w:tr>
      <w:tr w:rsidR="001F5CE9" w14:paraId="2A5AC539" w14:textId="77777777" w:rsidTr="01736CFA">
        <w:tc>
          <w:tcPr>
            <w:tcW w:w="504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17C1E377" w14:textId="77777777" w:rsidR="001F5CE9" w:rsidRDefault="004B5D01">
            <w:r>
              <w:rPr>
                <w:b/>
                <w:bCs/>
                <w:color w:val="1B4332"/>
              </w:rPr>
              <w:t xml:space="preserve">Estimated Cost per </w:t>
            </w:r>
            <w:proofErr w:type="spellStart"/>
            <w:r>
              <w:rPr>
                <w:b/>
                <w:bCs/>
                <w:color w:val="1B4332"/>
              </w:rPr>
              <w:t>RhF</w:t>
            </w:r>
            <w:proofErr w:type="spellEnd"/>
            <w:r>
              <w:rPr>
                <w:b/>
                <w:bCs/>
                <w:color w:val="1B4332"/>
              </w:rPr>
              <w:t xml:space="preserve"> Case Prevented</w:t>
            </w:r>
          </w:p>
        </w:tc>
        <w:tc>
          <w:tcPr>
            <w:tcW w:w="43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04401B0F" w14:textId="5A67F173" w:rsidR="001F5CE9" w:rsidRDefault="004B5D01">
            <w:r w:rsidRPr="01736CFA">
              <w:rPr>
                <w:i/>
                <w:iCs/>
                <w:color w:val="8B6914"/>
              </w:rPr>
              <w:t>[Reference</w:t>
            </w:r>
            <w:r w:rsidR="4059A8EA" w:rsidRPr="01736CFA">
              <w:rPr>
                <w:i/>
                <w:iCs/>
                <w:color w:val="8B6914"/>
              </w:rPr>
              <w:t xml:space="preserve"> </w:t>
            </w:r>
            <w:r w:rsidRPr="01736CFA">
              <w:rPr>
                <w:i/>
                <w:iCs/>
                <w:color w:val="8B6914"/>
              </w:rPr>
              <w:t>national modelling spreadsheet where available]</w:t>
            </w:r>
          </w:p>
        </w:tc>
      </w:tr>
      <w:tr w:rsidR="001F5CE9" w14:paraId="14E8F63B" w14:textId="77777777" w:rsidTr="01736CFA">
        <w:tc>
          <w:tcPr>
            <w:tcW w:w="504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774CED13" w14:textId="77777777" w:rsidR="001F5CE9" w:rsidRDefault="004B5D01">
            <w:r>
              <w:rPr>
                <w:b/>
                <w:bCs/>
                <w:color w:val="1B4332"/>
              </w:rPr>
              <w:t>Enrolled Population Size</w:t>
            </w:r>
          </w:p>
        </w:tc>
        <w:tc>
          <w:tcPr>
            <w:tcW w:w="43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D2FFC25" w14:textId="77777777" w:rsidR="001F5CE9" w:rsidRDefault="004B5D01">
            <w:r>
              <w:rPr>
                <w:i/>
                <w:iCs/>
                <w:color w:val="8B6914"/>
              </w:rPr>
              <w:t>[Enrolled Population Size] enrolled patients</w:t>
            </w:r>
          </w:p>
        </w:tc>
      </w:tr>
      <w:tr w:rsidR="001F5CE9" w14:paraId="533EDF63" w14:textId="77777777" w:rsidTr="01736CFA">
        <w:tc>
          <w:tcPr>
            <w:tcW w:w="504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483AE04B" w14:textId="77777777" w:rsidR="001F5CE9" w:rsidRDefault="004B5D01">
            <w:r>
              <w:rPr>
                <w:b/>
                <w:bCs/>
                <w:color w:val="1B4332"/>
              </w:rPr>
              <w:t>Cost per Enrolled Patient per Year</w:t>
            </w:r>
          </w:p>
        </w:tc>
        <w:tc>
          <w:tcPr>
            <w:tcW w:w="43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15BB7331" w14:textId="77777777" w:rsidR="001F5CE9" w:rsidRDefault="004B5D01">
            <w:r>
              <w:rPr>
                <w:i/>
                <w:iCs/>
                <w:color w:val="8B6914"/>
              </w:rPr>
              <w:t>[Total Annual Cost ÷ Enrolled Population Size]</w:t>
            </w:r>
          </w:p>
        </w:tc>
      </w:tr>
    </w:tbl>
    <w:p w14:paraId="2E0CC8D6" w14:textId="77777777" w:rsidR="001F5CE9" w:rsidRDefault="001F5CE9">
      <w:pPr>
        <w:spacing w:before="200" w:after="200"/>
      </w:pPr>
    </w:p>
    <w:p w14:paraId="25D4F64C" w14:textId="77AF95E4" w:rsidR="01736CFA" w:rsidRDefault="01736CFA" w:rsidP="01736CFA">
      <w:pPr>
        <w:spacing w:before="200" w:after="200"/>
      </w:pPr>
    </w:p>
    <w:p w14:paraId="682C394B" w14:textId="4817DC37" w:rsidR="01736CFA" w:rsidRDefault="01736CFA" w:rsidP="01736CFA">
      <w:pPr>
        <w:spacing w:before="200" w:after="200"/>
      </w:pPr>
    </w:p>
    <w:p w14:paraId="1BEED79C" w14:textId="6632A883" w:rsidR="01736CFA" w:rsidRDefault="01736CFA" w:rsidP="01736CFA">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1F5CE9" w14:paraId="798BC53C" w14:textId="77777777">
        <w:tc>
          <w:tcPr>
            <w:tcW w:w="600" w:type="dxa"/>
            <w:tcBorders>
              <w:top w:val="single" w:sz="6" w:space="0" w:color="2D6A4F"/>
              <w:left w:val="single" w:sz="6" w:space="0" w:color="2D6A4F"/>
              <w:bottom w:val="single" w:sz="6" w:space="0" w:color="2D6A4F"/>
              <w:right w:val="single" w:sz="6" w:space="0" w:color="2D6A4F"/>
            </w:tcBorders>
            <w:shd w:val="clear" w:color="auto" w:fill="2D6A4F"/>
            <w:tcMar>
              <w:top w:w="80" w:type="dxa"/>
              <w:left w:w="120" w:type="dxa"/>
              <w:bottom w:w="80" w:type="dxa"/>
              <w:right w:w="120" w:type="dxa"/>
            </w:tcMar>
            <w:vAlign w:val="center"/>
          </w:tcPr>
          <w:p w14:paraId="3B81747D" w14:textId="77777777" w:rsidR="001F5CE9" w:rsidRDefault="004B5D01">
            <w:pPr>
              <w:jc w:val="center"/>
            </w:pPr>
            <w:r>
              <w:rPr>
                <w:b/>
                <w:bCs/>
                <w:color w:val="FFFFFF"/>
                <w:sz w:val="28"/>
                <w:szCs w:val="28"/>
              </w:rPr>
              <w:t>7</w:t>
            </w:r>
          </w:p>
        </w:tc>
        <w:tc>
          <w:tcPr>
            <w:tcW w:w="87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200" w:type="dxa"/>
              <w:bottom w:w="80" w:type="dxa"/>
              <w:right w:w="120" w:type="dxa"/>
            </w:tcMar>
            <w:vAlign w:val="center"/>
          </w:tcPr>
          <w:p w14:paraId="705EA278" w14:textId="77777777" w:rsidR="001F5CE9" w:rsidRDefault="004B5D01">
            <w:r>
              <w:rPr>
                <w:b/>
                <w:bCs/>
                <w:color w:val="FFFFFF"/>
                <w:sz w:val="26"/>
                <w:szCs w:val="26"/>
              </w:rPr>
              <w:t>Implementation Plan</w:t>
            </w:r>
          </w:p>
        </w:tc>
      </w:tr>
    </w:tbl>
    <w:p w14:paraId="021A815E" w14:textId="77777777" w:rsidR="001F5CE9" w:rsidRDefault="001F5CE9">
      <w:pPr>
        <w:spacing w:before="80" w:after="80"/>
      </w:pPr>
    </w:p>
    <w:p w14:paraId="4DE19C49" w14:textId="77777777" w:rsidR="001F5CE9" w:rsidRDefault="004B5D01">
      <w:pPr>
        <w:spacing w:before="60"/>
        <w:ind w:left="180"/>
      </w:pPr>
      <w:r>
        <w:rPr>
          <w:i/>
          <w:iCs/>
          <w:color w:val="3A7A5A"/>
          <w:sz w:val="19"/>
          <w:szCs w:val="19"/>
        </w:rPr>
        <w:t>Outline how and when you will implement POCT. The Pinnacle MHN clinical governance framework provides a ready-to-use implementation pathway. Training, validation, and quality assurance steps are already documented in the Pinnacle MHN POCT clinical governance guidelines — reference these resources throughout this section.</w:t>
      </w:r>
    </w:p>
    <w:p w14:paraId="63356BA5" w14:textId="77777777" w:rsidR="001F5CE9" w:rsidRDefault="001F5CE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3480"/>
        <w:gridCol w:w="2220"/>
        <w:gridCol w:w="2220"/>
      </w:tblGrid>
      <w:tr w:rsidR="001F5CE9" w14:paraId="4910FED6" w14:textId="77777777">
        <w:trPr>
          <w:tblHeader/>
        </w:trPr>
        <w:tc>
          <w:tcPr>
            <w:tcW w:w="144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136F8298" w14:textId="77777777" w:rsidR="001F5CE9" w:rsidRDefault="004B5D01">
            <w:pPr>
              <w:jc w:val="center"/>
            </w:pPr>
            <w:r>
              <w:rPr>
                <w:b/>
                <w:bCs/>
                <w:color w:val="FFFFFF"/>
              </w:rPr>
              <w:t>Phase</w:t>
            </w:r>
          </w:p>
        </w:tc>
        <w:tc>
          <w:tcPr>
            <w:tcW w:w="348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37F1B90B" w14:textId="77777777" w:rsidR="001F5CE9" w:rsidRDefault="004B5D01">
            <w:pPr>
              <w:jc w:val="center"/>
            </w:pPr>
            <w:r>
              <w:rPr>
                <w:b/>
                <w:bCs/>
                <w:color w:val="FFFFFF"/>
              </w:rPr>
              <w:t>Key Actions</w:t>
            </w:r>
          </w:p>
        </w:tc>
        <w:tc>
          <w:tcPr>
            <w:tcW w:w="222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4F549AD6" w14:textId="77777777" w:rsidR="001F5CE9" w:rsidRDefault="004B5D01">
            <w:pPr>
              <w:jc w:val="center"/>
            </w:pPr>
            <w:r>
              <w:rPr>
                <w:b/>
                <w:bCs/>
                <w:color w:val="FFFFFF"/>
              </w:rPr>
              <w:t>Responsible Party</w:t>
            </w:r>
          </w:p>
        </w:tc>
        <w:tc>
          <w:tcPr>
            <w:tcW w:w="222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7BC4D449" w14:textId="77777777" w:rsidR="001F5CE9" w:rsidRDefault="004B5D01">
            <w:pPr>
              <w:jc w:val="center"/>
            </w:pPr>
            <w:r>
              <w:rPr>
                <w:b/>
                <w:bCs/>
                <w:color w:val="FFFFFF"/>
              </w:rPr>
              <w:t>Proposed Timeline</w:t>
            </w:r>
          </w:p>
        </w:tc>
      </w:tr>
      <w:tr w:rsidR="001F5CE9" w14:paraId="7271A8A4" w14:textId="77777777">
        <w:tc>
          <w:tcPr>
            <w:tcW w:w="144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2C0D3D6C" w14:textId="77777777" w:rsidR="001F5CE9" w:rsidRDefault="004B5D01">
            <w:pPr>
              <w:spacing w:before="20" w:after="20"/>
            </w:pPr>
            <w:r>
              <w:rPr>
                <w:b/>
                <w:bCs/>
              </w:rPr>
              <w:t>1 — Planning</w:t>
            </w:r>
          </w:p>
        </w:tc>
        <w:tc>
          <w:tcPr>
            <w:tcW w:w="3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12FA1E5F" w14:textId="77777777" w:rsidR="001F5CE9" w:rsidRDefault="004B5D01">
            <w:pPr>
              <w:spacing w:before="20" w:after="20"/>
            </w:pPr>
            <w:r>
              <w:t>Confirm funder approval and funding model. Review Pinnacle MHN clinical governance guidelines. Identify POCT operators. Order device and consumables from supplier.</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06BD697" w14:textId="77777777" w:rsidR="001F5CE9" w:rsidRDefault="004B5D01">
            <w:r>
              <w:rPr>
                <w:i/>
                <w:iCs/>
                <w:color w:val="8B6914"/>
              </w:rPr>
              <w:t>[Practice Manager / Clinical Lead]</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64141B8C" w14:textId="77777777" w:rsidR="001F5CE9" w:rsidRDefault="004B5D01">
            <w:r>
              <w:rPr>
                <w:i/>
                <w:iCs/>
                <w:color w:val="8B6914"/>
              </w:rPr>
              <w:t>[Month 1]</w:t>
            </w:r>
          </w:p>
        </w:tc>
      </w:tr>
      <w:tr w:rsidR="001F5CE9" w14:paraId="25CF358C" w14:textId="77777777">
        <w:tc>
          <w:tcPr>
            <w:tcW w:w="14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D5F932B" w14:textId="77777777" w:rsidR="001F5CE9" w:rsidRDefault="004B5D01">
            <w:pPr>
              <w:spacing w:before="20" w:after="20"/>
            </w:pPr>
            <w:r>
              <w:rPr>
                <w:b/>
                <w:bCs/>
              </w:rPr>
              <w:t>2 — Device Setup</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9D8834" w14:textId="77777777" w:rsidR="001F5CE9" w:rsidRDefault="004B5D01">
            <w:pPr>
              <w:spacing w:before="20" w:after="20"/>
            </w:pPr>
            <w:r>
              <w:t>Physical setup of ID Now device in practice. Complete device installation and registration. Establish QC log, documentation, and specimen collection area.</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047EF37C" w14:textId="77777777" w:rsidR="001F5CE9" w:rsidRDefault="004B5D01">
            <w:r>
              <w:rPr>
                <w:i/>
                <w:iCs/>
                <w:color w:val="8B6914"/>
              </w:rPr>
              <w:t>[Clinical Lead / Practice Manager]</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154F7F31" w14:textId="77777777" w:rsidR="001F5CE9" w:rsidRDefault="004B5D01">
            <w:r>
              <w:rPr>
                <w:i/>
                <w:iCs/>
                <w:color w:val="8B6914"/>
              </w:rPr>
              <w:t>[Month 1–2]</w:t>
            </w:r>
          </w:p>
        </w:tc>
      </w:tr>
      <w:tr w:rsidR="001F5CE9" w14:paraId="6E274AA8" w14:textId="77777777">
        <w:tc>
          <w:tcPr>
            <w:tcW w:w="144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1945FEEC" w14:textId="77777777" w:rsidR="001F5CE9" w:rsidRDefault="004B5D01">
            <w:pPr>
              <w:spacing w:before="20" w:after="20"/>
            </w:pPr>
            <w:r>
              <w:rPr>
                <w:b/>
                <w:bCs/>
              </w:rPr>
              <w:t>3 — Staff Training</w:t>
            </w:r>
          </w:p>
        </w:tc>
        <w:tc>
          <w:tcPr>
            <w:tcW w:w="3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2D516D04" w14:textId="77777777" w:rsidR="001F5CE9" w:rsidRDefault="004B5D01">
            <w:pPr>
              <w:spacing w:before="20" w:after="20"/>
            </w:pPr>
            <w:r>
              <w:t xml:space="preserve">Complete mandatory POCT operator training using Pinnacle MHN training standards. Complete competency assessment for all designated POCT operators. </w:t>
            </w:r>
            <w:r>
              <w:lastRenderedPageBreak/>
              <w:t>Document trained operators in register.</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7CFFEA8" w14:textId="77777777" w:rsidR="001F5CE9" w:rsidRDefault="004B5D01">
            <w:r>
              <w:rPr>
                <w:i/>
                <w:iCs/>
                <w:color w:val="8B6914"/>
              </w:rPr>
              <w:lastRenderedPageBreak/>
              <w:t>[All designated POCT operators]</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71694274" w14:textId="77777777" w:rsidR="001F5CE9" w:rsidRDefault="004B5D01">
            <w:r>
              <w:rPr>
                <w:i/>
                <w:iCs/>
                <w:color w:val="8B6914"/>
              </w:rPr>
              <w:t>[Month 2]</w:t>
            </w:r>
          </w:p>
        </w:tc>
      </w:tr>
      <w:tr w:rsidR="001F5CE9" w14:paraId="155AF605" w14:textId="77777777">
        <w:tc>
          <w:tcPr>
            <w:tcW w:w="14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680C3C" w14:textId="77777777" w:rsidR="001F5CE9" w:rsidRDefault="004B5D01">
            <w:pPr>
              <w:spacing w:before="20" w:after="20"/>
            </w:pPr>
            <w:r>
              <w:rPr>
                <w:b/>
                <w:bCs/>
              </w:rPr>
              <w:t>4 — Validation</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6AA47B7" w14:textId="77777777" w:rsidR="001F5CE9" w:rsidRDefault="004B5D01">
            <w:pPr>
              <w:spacing w:before="20" w:after="20"/>
            </w:pPr>
            <w:r>
              <w:t>Run initial QC validation as per manufacturer and Pinnacle MHN protocols. Document validation results. Clinical Lead sign-off before go-live.</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D8E234D" w14:textId="77777777" w:rsidR="001F5CE9" w:rsidRDefault="004B5D01">
            <w:r>
              <w:rPr>
                <w:i/>
                <w:iCs/>
                <w:color w:val="8B6914"/>
              </w:rPr>
              <w:t>[Clinical Lead]</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0ED296D" w14:textId="77777777" w:rsidR="001F5CE9" w:rsidRDefault="004B5D01">
            <w:r>
              <w:rPr>
                <w:i/>
                <w:iCs/>
                <w:color w:val="8B6914"/>
              </w:rPr>
              <w:t>[Month 2]</w:t>
            </w:r>
          </w:p>
        </w:tc>
      </w:tr>
      <w:tr w:rsidR="001F5CE9" w14:paraId="07A204AE" w14:textId="77777777">
        <w:tc>
          <w:tcPr>
            <w:tcW w:w="144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5D9CD2DD" w14:textId="77777777" w:rsidR="001F5CE9" w:rsidRDefault="004B5D01">
            <w:pPr>
              <w:spacing w:before="20" w:after="20"/>
            </w:pPr>
            <w:r>
              <w:rPr>
                <w:b/>
                <w:bCs/>
              </w:rPr>
              <w:t>5 — Go Live</w:t>
            </w:r>
          </w:p>
        </w:tc>
        <w:tc>
          <w:tcPr>
            <w:tcW w:w="3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64525933" w14:textId="77777777" w:rsidR="001F5CE9" w:rsidRDefault="004B5D01">
            <w:pPr>
              <w:spacing w:before="20" w:after="20"/>
            </w:pPr>
            <w:r>
              <w:t>Begin using POCT in clinical consultations. Implement Strep A clinical decision-making pathway. Monitor outcomes for first 50 tests. Log all results.</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4634EF77" w14:textId="77777777" w:rsidR="001F5CE9" w:rsidRDefault="004B5D01">
            <w:r>
              <w:rPr>
                <w:i/>
                <w:iCs/>
                <w:color w:val="8B6914"/>
              </w:rPr>
              <w:t>[All clinical staff]</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77D37E52" w14:textId="77777777" w:rsidR="001F5CE9" w:rsidRDefault="004B5D01">
            <w:r>
              <w:rPr>
                <w:i/>
                <w:iCs/>
                <w:color w:val="8B6914"/>
              </w:rPr>
              <w:t>[Month 3]</w:t>
            </w:r>
          </w:p>
        </w:tc>
      </w:tr>
      <w:tr w:rsidR="001F5CE9" w14:paraId="1A75D448" w14:textId="77777777">
        <w:tc>
          <w:tcPr>
            <w:tcW w:w="14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D9A4879" w14:textId="77777777" w:rsidR="001F5CE9" w:rsidRDefault="004B5D01">
            <w:pPr>
              <w:spacing w:before="20" w:after="20"/>
            </w:pPr>
            <w:r>
              <w:rPr>
                <w:b/>
                <w:bCs/>
              </w:rPr>
              <w:t>6 — First Review</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2DB2BD0" w14:textId="77777777" w:rsidR="001F5CE9" w:rsidRDefault="004B5D01">
            <w:pPr>
              <w:spacing w:before="20" w:after="20"/>
            </w:pPr>
            <w:r>
              <w:t>First quarterly clinical governance review. Review QC logs, test volumes, clinical outcomes, and financial performance against projections. Submit report to PHO if required.</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D2CACF2" w14:textId="77777777" w:rsidR="001F5CE9" w:rsidRDefault="004B5D01">
            <w:r>
              <w:rPr>
                <w:i/>
                <w:iCs/>
                <w:color w:val="8B6914"/>
              </w:rPr>
              <w:t>[Clinical Lead / Practice Manager]</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75F38658" w14:textId="77777777" w:rsidR="001F5CE9" w:rsidRDefault="004B5D01">
            <w:r>
              <w:rPr>
                <w:i/>
                <w:iCs/>
                <w:color w:val="8B6914"/>
              </w:rPr>
              <w:t>[Month 6]</w:t>
            </w:r>
          </w:p>
        </w:tc>
      </w:tr>
      <w:tr w:rsidR="001F5CE9" w14:paraId="4B714B75" w14:textId="77777777">
        <w:tc>
          <w:tcPr>
            <w:tcW w:w="144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55DA0CE" w14:textId="77777777" w:rsidR="001F5CE9" w:rsidRDefault="004B5D01">
            <w:r>
              <w:rPr>
                <w:i/>
                <w:iCs/>
                <w:color w:val="8B6914"/>
              </w:rPr>
              <w:t>[Add phase]</w:t>
            </w:r>
          </w:p>
        </w:tc>
        <w:tc>
          <w:tcPr>
            <w:tcW w:w="348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63EEBFB9" w14:textId="77777777" w:rsidR="001F5CE9" w:rsidRDefault="004B5D01">
            <w:r>
              <w:rPr>
                <w:i/>
                <w:iCs/>
                <w:color w:val="8B6914"/>
              </w:rPr>
              <w:t>[Description of key actions]</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93E0195" w14:textId="77777777" w:rsidR="001F5CE9" w:rsidRDefault="004B5D01">
            <w:r>
              <w:rPr>
                <w:i/>
                <w:iCs/>
                <w:color w:val="8B6914"/>
              </w:rPr>
              <w:t>[Responsible party]</w:t>
            </w:r>
          </w:p>
        </w:tc>
        <w:tc>
          <w:tcPr>
            <w:tcW w:w="22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ACFA81E" w14:textId="77777777" w:rsidR="001F5CE9" w:rsidRDefault="004B5D01">
            <w:r>
              <w:rPr>
                <w:i/>
                <w:iCs/>
                <w:color w:val="8B6914"/>
              </w:rPr>
              <w:t>[Timeline]</w:t>
            </w:r>
          </w:p>
        </w:tc>
      </w:tr>
    </w:tbl>
    <w:p w14:paraId="5468A90F" w14:textId="77777777" w:rsidR="001F5CE9" w:rsidRDefault="001F5CE9">
      <w:pPr>
        <w:spacing w:before="120" w:after="120"/>
      </w:pPr>
    </w:p>
    <w:p w14:paraId="371AB780" w14:textId="4F433CB7" w:rsidR="01736CFA" w:rsidRDefault="01736CFA" w:rsidP="01736CFA">
      <w:pPr>
        <w:spacing w:before="120" w:after="120"/>
      </w:pPr>
    </w:p>
    <w:p w14:paraId="57116D59" w14:textId="3F7D596E" w:rsidR="01736CFA" w:rsidRDefault="01736CFA" w:rsidP="01736CFA">
      <w:pPr>
        <w:spacing w:before="120" w:after="120"/>
      </w:pPr>
    </w:p>
    <w:p w14:paraId="4E2A9152" w14:textId="77777777" w:rsidR="001F5CE9" w:rsidRDefault="004B5D01">
      <w:pPr>
        <w:pStyle w:val="Heading2"/>
      </w:pPr>
      <w:proofErr w:type="gramStart"/>
      <w:r>
        <w:t>7.1  Clinical</w:t>
      </w:r>
      <w:proofErr w:type="gramEnd"/>
      <w:r>
        <w:t xml:space="preserve"> Governance Framework</w:t>
      </w:r>
    </w:p>
    <w:p w14:paraId="5215CDB5" w14:textId="77777777" w:rsidR="001F5CE9" w:rsidRDefault="004B5D01">
      <w:pPr>
        <w:spacing w:before="60"/>
        <w:ind w:left="180"/>
      </w:pPr>
      <w:r>
        <w:rPr>
          <w:i/>
          <w:iCs/>
          <w:color w:val="3A7A5A"/>
          <w:sz w:val="19"/>
          <w:szCs w:val="19"/>
        </w:rPr>
        <w:t>Pinnacle MHN has developed a comprehensive POCT clinical governance framework. Adopting this framework provides pre-developed policies, training standards, QC processes, and reporting templates — significantly reducing the implementation burden for practices.</w:t>
      </w:r>
    </w:p>
    <w:p w14:paraId="29816735" w14:textId="77777777" w:rsidR="001F5CE9" w:rsidRDefault="004B5D01">
      <w:pPr>
        <w:pStyle w:val="ListParagraph"/>
        <w:numPr>
          <w:ilvl w:val="0"/>
          <w:numId w:val="2"/>
        </w:numPr>
        <w:spacing w:before="40" w:after="40"/>
      </w:pPr>
      <w:r>
        <w:t>Pinnacle MHN POCT Clinical Governance Guidelines [Document version / date]</w:t>
      </w:r>
    </w:p>
    <w:p w14:paraId="6461168C" w14:textId="77777777" w:rsidR="001F5CE9" w:rsidRDefault="004B5D01">
      <w:pPr>
        <w:pStyle w:val="ListParagraph"/>
        <w:numPr>
          <w:ilvl w:val="0"/>
          <w:numId w:val="2"/>
        </w:numPr>
        <w:spacing w:before="40" w:after="40"/>
      </w:pPr>
      <w:r>
        <w:t>POCT Operator Training Standards and Competency Assessment Tools [Document version / date]</w:t>
      </w:r>
    </w:p>
    <w:p w14:paraId="7BAADED5" w14:textId="77777777" w:rsidR="001F5CE9" w:rsidRDefault="004B5D01">
      <w:pPr>
        <w:pStyle w:val="ListParagraph"/>
        <w:numPr>
          <w:ilvl w:val="0"/>
          <w:numId w:val="2"/>
        </w:numPr>
        <w:spacing w:before="40" w:after="40"/>
      </w:pPr>
      <w:r>
        <w:t>Quality Control (QC) Log Templates and Escalation Protocols</w:t>
      </w:r>
    </w:p>
    <w:p w14:paraId="653399BF" w14:textId="77777777" w:rsidR="001F5CE9" w:rsidRDefault="004B5D01">
      <w:pPr>
        <w:pStyle w:val="ListParagraph"/>
        <w:numPr>
          <w:ilvl w:val="0"/>
          <w:numId w:val="2"/>
        </w:numPr>
        <w:spacing w:before="40" w:after="40"/>
      </w:pPr>
      <w:r>
        <w:t>Clinical Decision-Making Pathway for Strep A / ID Now Results</w:t>
      </w:r>
    </w:p>
    <w:p w14:paraId="079E24B5" w14:textId="77777777" w:rsidR="001F5CE9" w:rsidRDefault="004B5D01">
      <w:pPr>
        <w:pStyle w:val="ListParagraph"/>
        <w:numPr>
          <w:ilvl w:val="0"/>
          <w:numId w:val="2"/>
        </w:numPr>
        <w:spacing w:before="40" w:after="40"/>
      </w:pPr>
      <w:r>
        <w:t>Rheumatic Fever Prevention Guideline [Document version / date]</w:t>
      </w:r>
    </w:p>
    <w:p w14:paraId="58F2F1F1" w14:textId="77777777" w:rsidR="001F5CE9" w:rsidRDefault="004B5D01">
      <w:pPr>
        <w:pStyle w:val="ListParagraph"/>
        <w:numPr>
          <w:ilvl w:val="0"/>
          <w:numId w:val="2"/>
        </w:numPr>
        <w:spacing w:before="40" w:after="40"/>
      </w:pPr>
      <w:r>
        <w:t>Incident and Adverse Event Reporting Pathway</w:t>
      </w:r>
    </w:p>
    <w:p w14:paraId="7B38A19C" w14:textId="77777777" w:rsidR="001F5CE9" w:rsidRDefault="001F5CE9">
      <w:pPr>
        <w:spacing w:before="80" w:after="80"/>
      </w:pPr>
    </w:p>
    <w:p w14:paraId="469CCF90" w14:textId="77777777" w:rsidR="001F5CE9" w:rsidRDefault="004B5D01">
      <w:pPr>
        <w:pStyle w:val="Heading2"/>
      </w:pPr>
      <w:proofErr w:type="gramStart"/>
      <w:r>
        <w:t>7.2  Regulatory</w:t>
      </w:r>
      <w:proofErr w:type="gramEnd"/>
      <w:r>
        <w:t xml:space="preserve"> Compliance</w:t>
      </w:r>
    </w:p>
    <w:p w14:paraId="08D3A4C0" w14:textId="77777777" w:rsidR="001F5CE9" w:rsidRDefault="004B5D01">
      <w:pPr>
        <w:spacing w:before="60"/>
        <w:ind w:left="180"/>
      </w:pPr>
      <w:r>
        <w:rPr>
          <w:i/>
          <w:iCs/>
          <w:color w:val="3A7A5A"/>
          <w:sz w:val="19"/>
          <w:szCs w:val="19"/>
        </w:rPr>
        <w:t>POCT in New Zealand primary care operates under a regulatory framework. Confirm your practice’s obligations prior to going live. Pinnacle MHN can provide guidance on applicable requirements.</w:t>
      </w:r>
    </w:p>
    <w:p w14:paraId="3A6420A2" w14:textId="77777777" w:rsidR="001F5CE9" w:rsidRDefault="004B5D01">
      <w:pPr>
        <w:pStyle w:val="ListParagraph"/>
        <w:numPr>
          <w:ilvl w:val="0"/>
          <w:numId w:val="3"/>
        </w:numPr>
        <w:spacing w:before="40" w:after="40"/>
      </w:pPr>
      <w:r>
        <w:rPr>
          <w:i/>
          <w:iCs/>
          <w:color w:val="8B6914"/>
        </w:rPr>
        <w:t>[Confirm IANZ accreditation requirements applicable to your practice’s POCT scope and testing menu]</w:t>
      </w:r>
    </w:p>
    <w:p w14:paraId="2E44BA40" w14:textId="77777777" w:rsidR="001F5CE9" w:rsidRDefault="004B5D01">
      <w:pPr>
        <w:pStyle w:val="ListParagraph"/>
        <w:numPr>
          <w:ilvl w:val="0"/>
          <w:numId w:val="3"/>
        </w:numPr>
        <w:spacing w:before="40" w:after="40"/>
      </w:pPr>
      <w:r>
        <w:rPr>
          <w:i/>
          <w:iCs/>
          <w:color w:val="8B6914"/>
        </w:rPr>
        <w:t xml:space="preserve">[Confirm any </w:t>
      </w:r>
      <w:proofErr w:type="spellStart"/>
      <w:r>
        <w:rPr>
          <w:i/>
          <w:iCs/>
          <w:color w:val="8B6914"/>
        </w:rPr>
        <w:t>HealthCERT</w:t>
      </w:r>
      <w:proofErr w:type="spellEnd"/>
      <w:r>
        <w:rPr>
          <w:i/>
          <w:iCs/>
          <w:color w:val="8B6914"/>
        </w:rPr>
        <w:t xml:space="preserve"> or NZQA obligations for POCT in your practice type]</w:t>
      </w:r>
    </w:p>
    <w:p w14:paraId="1DA9E319" w14:textId="77777777" w:rsidR="001F5CE9" w:rsidRDefault="004B5D01">
      <w:pPr>
        <w:pStyle w:val="ListParagraph"/>
        <w:numPr>
          <w:ilvl w:val="0"/>
          <w:numId w:val="3"/>
        </w:numPr>
        <w:spacing w:before="40" w:after="40"/>
      </w:pPr>
      <w:r>
        <w:rPr>
          <w:i/>
          <w:iCs/>
          <w:color w:val="8B6914"/>
        </w:rPr>
        <w:t>[Confirm MEDSAFE requirements for in-vitro diagnostic device use in primary care]</w:t>
      </w:r>
    </w:p>
    <w:p w14:paraId="1979F241" w14:textId="77777777" w:rsidR="001F5CE9" w:rsidRDefault="004B5D01">
      <w:pPr>
        <w:pStyle w:val="ListParagraph"/>
        <w:numPr>
          <w:ilvl w:val="0"/>
          <w:numId w:val="3"/>
        </w:numPr>
        <w:spacing w:before="40" w:after="40"/>
      </w:pPr>
      <w:r>
        <w:rPr>
          <w:i/>
          <w:iCs/>
          <w:color w:val="8B6914"/>
        </w:rPr>
        <w:t>[Confirm requirements under the Health and Disability Commissioner Act 1994 and applicable consumer rights standards]</w:t>
      </w:r>
    </w:p>
    <w:p w14:paraId="764F559E" w14:textId="77777777" w:rsidR="001F5CE9" w:rsidRDefault="001F5CE9">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1F5CE9" w14:paraId="5C18FC1E" w14:textId="77777777">
        <w:tc>
          <w:tcPr>
            <w:tcW w:w="600" w:type="dxa"/>
            <w:tcBorders>
              <w:top w:val="single" w:sz="6" w:space="0" w:color="2D6A4F"/>
              <w:left w:val="single" w:sz="6" w:space="0" w:color="2D6A4F"/>
              <w:bottom w:val="single" w:sz="6" w:space="0" w:color="2D6A4F"/>
              <w:right w:val="single" w:sz="6" w:space="0" w:color="2D6A4F"/>
            </w:tcBorders>
            <w:shd w:val="clear" w:color="auto" w:fill="2D6A4F"/>
            <w:tcMar>
              <w:top w:w="80" w:type="dxa"/>
              <w:left w:w="120" w:type="dxa"/>
              <w:bottom w:w="80" w:type="dxa"/>
              <w:right w:w="120" w:type="dxa"/>
            </w:tcMar>
            <w:vAlign w:val="center"/>
          </w:tcPr>
          <w:p w14:paraId="5C947C77" w14:textId="77777777" w:rsidR="001F5CE9" w:rsidRDefault="004B5D01">
            <w:pPr>
              <w:jc w:val="center"/>
            </w:pPr>
            <w:r>
              <w:rPr>
                <w:b/>
                <w:bCs/>
                <w:color w:val="FFFFFF"/>
                <w:sz w:val="28"/>
                <w:szCs w:val="28"/>
              </w:rPr>
              <w:t>8</w:t>
            </w:r>
          </w:p>
        </w:tc>
        <w:tc>
          <w:tcPr>
            <w:tcW w:w="87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200" w:type="dxa"/>
              <w:bottom w:w="80" w:type="dxa"/>
              <w:right w:w="120" w:type="dxa"/>
            </w:tcMar>
            <w:vAlign w:val="center"/>
          </w:tcPr>
          <w:p w14:paraId="4777DAFD" w14:textId="77777777" w:rsidR="001F5CE9" w:rsidRDefault="004B5D01">
            <w:r>
              <w:rPr>
                <w:b/>
                <w:bCs/>
                <w:color w:val="FFFFFF"/>
                <w:sz w:val="26"/>
                <w:szCs w:val="26"/>
              </w:rPr>
              <w:t>Risks and Mitigations</w:t>
            </w:r>
          </w:p>
        </w:tc>
      </w:tr>
    </w:tbl>
    <w:p w14:paraId="458CED6E" w14:textId="77777777" w:rsidR="001F5CE9" w:rsidRDefault="001F5CE9">
      <w:pPr>
        <w:spacing w:before="80" w:after="80"/>
      </w:pPr>
    </w:p>
    <w:p w14:paraId="4A7D6954" w14:textId="77777777" w:rsidR="001F5CE9" w:rsidRDefault="004B5D01">
      <w:pPr>
        <w:spacing w:before="60"/>
        <w:ind w:left="180"/>
      </w:pPr>
      <w:r>
        <w:rPr>
          <w:i/>
          <w:iCs/>
          <w:color w:val="3A7A5A"/>
          <w:sz w:val="19"/>
          <w:szCs w:val="19"/>
        </w:rPr>
        <w:lastRenderedPageBreak/>
        <w:t xml:space="preserve">A well-structured risk register demonstrates to the funder that you have carefully considered potential issues and have mitigation plans in place. The Pinnacle MHN clinical governance framework directly addresses </w:t>
      </w:r>
      <w:proofErr w:type="gramStart"/>
      <w:r>
        <w:rPr>
          <w:i/>
          <w:iCs/>
          <w:color w:val="3A7A5A"/>
          <w:sz w:val="19"/>
          <w:szCs w:val="19"/>
        </w:rPr>
        <w:t>the majority of</w:t>
      </w:r>
      <w:proofErr w:type="gramEnd"/>
      <w:r>
        <w:rPr>
          <w:i/>
          <w:iCs/>
          <w:color w:val="3A7A5A"/>
          <w:sz w:val="19"/>
          <w:szCs w:val="19"/>
        </w:rPr>
        <w:t xml:space="preserve"> these risks through pre-designed policies and processes.</w:t>
      </w:r>
    </w:p>
    <w:p w14:paraId="483EA996" w14:textId="77777777" w:rsidR="001F5CE9" w:rsidRDefault="001F5CE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0"/>
        <w:gridCol w:w="1320"/>
        <w:gridCol w:w="1320"/>
        <w:gridCol w:w="4200"/>
      </w:tblGrid>
      <w:tr w:rsidR="001F5CE9" w14:paraId="2FAF9F11" w14:textId="77777777">
        <w:trPr>
          <w:tblHeader/>
        </w:trPr>
        <w:tc>
          <w:tcPr>
            <w:tcW w:w="252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26FCB2D0" w14:textId="77777777" w:rsidR="001F5CE9" w:rsidRDefault="004B5D01">
            <w:pPr>
              <w:jc w:val="center"/>
            </w:pPr>
            <w:r>
              <w:rPr>
                <w:b/>
                <w:bCs/>
                <w:color w:val="FFFFFF"/>
              </w:rPr>
              <w:t>Risk</w:t>
            </w:r>
          </w:p>
        </w:tc>
        <w:tc>
          <w:tcPr>
            <w:tcW w:w="132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4764AECD" w14:textId="77777777" w:rsidR="001F5CE9" w:rsidRDefault="004B5D01">
            <w:pPr>
              <w:jc w:val="center"/>
            </w:pPr>
            <w:r>
              <w:rPr>
                <w:b/>
                <w:bCs/>
                <w:color w:val="FFFFFF"/>
              </w:rPr>
              <w:t>Likelihood</w:t>
            </w:r>
          </w:p>
        </w:tc>
        <w:tc>
          <w:tcPr>
            <w:tcW w:w="132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7C92D51F" w14:textId="77777777" w:rsidR="001F5CE9" w:rsidRDefault="004B5D01">
            <w:pPr>
              <w:jc w:val="center"/>
            </w:pPr>
            <w:r>
              <w:rPr>
                <w:b/>
                <w:bCs/>
                <w:color w:val="FFFFFF"/>
              </w:rPr>
              <w:t>Impact</w:t>
            </w:r>
          </w:p>
        </w:tc>
        <w:tc>
          <w:tcPr>
            <w:tcW w:w="420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2807009F" w14:textId="77777777" w:rsidR="001F5CE9" w:rsidRDefault="004B5D01">
            <w:pPr>
              <w:jc w:val="center"/>
            </w:pPr>
            <w:r>
              <w:rPr>
                <w:b/>
                <w:bCs/>
                <w:color w:val="FFFFFF"/>
              </w:rPr>
              <w:t>Mitigation Strategy</w:t>
            </w:r>
          </w:p>
        </w:tc>
      </w:tr>
      <w:tr w:rsidR="001F5CE9" w14:paraId="2FF35A7D" w14:textId="77777777">
        <w:tc>
          <w:tcPr>
            <w:tcW w:w="25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7F7617B4" w14:textId="77777777" w:rsidR="001F5CE9" w:rsidRDefault="004B5D01">
            <w:pPr>
              <w:spacing w:before="20" w:after="20"/>
            </w:pPr>
            <w:r>
              <w:t>Incorrect test performance / operator error</w:t>
            </w:r>
          </w:p>
        </w:tc>
        <w:tc>
          <w:tcPr>
            <w:tcW w:w="13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70784DFF" w14:textId="77777777" w:rsidR="001F5CE9" w:rsidRDefault="004B5D01">
            <w:pPr>
              <w:spacing w:before="20" w:after="20"/>
              <w:jc w:val="center"/>
            </w:pPr>
            <w:r>
              <w:t>Low</w:t>
            </w:r>
          </w:p>
        </w:tc>
        <w:tc>
          <w:tcPr>
            <w:tcW w:w="13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52552858" w14:textId="77777777" w:rsidR="001F5CE9" w:rsidRDefault="004B5D01">
            <w:pPr>
              <w:spacing w:before="20" w:after="20"/>
              <w:jc w:val="center"/>
            </w:pPr>
            <w:r>
              <w:t>High</w:t>
            </w:r>
          </w:p>
        </w:tc>
        <w:tc>
          <w:tcPr>
            <w:tcW w:w="42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27F9A9C9" w14:textId="77777777" w:rsidR="001F5CE9" w:rsidRDefault="004B5D01">
            <w:pPr>
              <w:spacing w:before="20" w:after="20"/>
            </w:pPr>
            <w:r>
              <w:t>Mandatory operator training and competency assessment using Pinnacle MHN training standards. Minimum volume requirements to maintain competency. Regular QC checks.</w:t>
            </w:r>
          </w:p>
        </w:tc>
      </w:tr>
      <w:tr w:rsidR="001F5CE9" w14:paraId="6825A6E2" w14:textId="77777777">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5E3386A" w14:textId="77777777" w:rsidR="001F5CE9" w:rsidRDefault="004B5D01">
            <w:pPr>
              <w:spacing w:before="20" w:after="20"/>
            </w:pPr>
            <w:r>
              <w:t>Device QC failure or malfunction</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8F80D88" w14:textId="77777777" w:rsidR="001F5CE9" w:rsidRDefault="004B5D01">
            <w:pPr>
              <w:spacing w:before="20" w:after="20"/>
              <w:jc w:val="center"/>
            </w:pPr>
            <w:r>
              <w:t>Low</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F2BD7C5" w14:textId="77777777" w:rsidR="001F5CE9" w:rsidRDefault="004B5D01">
            <w:pPr>
              <w:spacing w:before="20" w:after="20"/>
              <w:jc w:val="center"/>
            </w:pPr>
            <w:r>
              <w:t>Medium</w:t>
            </w:r>
          </w:p>
        </w:tc>
        <w:tc>
          <w:tcPr>
            <w:tcW w:w="4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00197B4" w14:textId="77777777" w:rsidR="001F5CE9" w:rsidRDefault="004B5D01">
            <w:pPr>
              <w:spacing w:before="20" w:after="20"/>
            </w:pPr>
            <w:r>
              <w:t>Daily QC runs as per manufacturer protocol. QC log reviewed monthly by Clinical Lead. Device taken out of service immediately if QC fails. Revert to lab pathway until resolved.</w:t>
            </w:r>
          </w:p>
        </w:tc>
      </w:tr>
      <w:tr w:rsidR="001F5CE9" w14:paraId="2425F8CC" w14:textId="77777777">
        <w:tc>
          <w:tcPr>
            <w:tcW w:w="25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07802BC8" w14:textId="77777777" w:rsidR="001F5CE9" w:rsidRDefault="004B5D01">
            <w:pPr>
              <w:spacing w:before="20" w:after="20"/>
            </w:pPr>
            <w:r>
              <w:t>False positive result — unnecessary antibiotic treatment</w:t>
            </w:r>
          </w:p>
        </w:tc>
        <w:tc>
          <w:tcPr>
            <w:tcW w:w="13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5B1C5EE9" w14:textId="77777777" w:rsidR="001F5CE9" w:rsidRDefault="004B5D01">
            <w:pPr>
              <w:spacing w:before="20" w:after="20"/>
              <w:jc w:val="center"/>
            </w:pPr>
            <w:r>
              <w:t>Low</w:t>
            </w:r>
          </w:p>
        </w:tc>
        <w:tc>
          <w:tcPr>
            <w:tcW w:w="13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6A7206E1" w14:textId="77777777" w:rsidR="001F5CE9" w:rsidRDefault="004B5D01">
            <w:pPr>
              <w:spacing w:before="20" w:after="20"/>
              <w:jc w:val="center"/>
            </w:pPr>
            <w:r>
              <w:t>Medium</w:t>
            </w:r>
          </w:p>
        </w:tc>
        <w:tc>
          <w:tcPr>
            <w:tcW w:w="42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37ED7B5" w14:textId="77777777" w:rsidR="001F5CE9" w:rsidRDefault="004B5D01">
            <w:pPr>
              <w:spacing w:before="20" w:after="20"/>
            </w:pPr>
            <w:r>
              <w:t>Use device strictly per manufacturer instructions. Clinical judgement applied alongside every test result. Adverse event pathway in place. Monitor for unexpected positive rates.</w:t>
            </w:r>
          </w:p>
        </w:tc>
      </w:tr>
      <w:tr w:rsidR="001F5CE9" w14:paraId="76D9AF6E" w14:textId="77777777">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FC66CDE" w14:textId="77777777" w:rsidR="001F5CE9" w:rsidRDefault="004B5D01">
            <w:pPr>
              <w:spacing w:before="20" w:after="20"/>
            </w:pPr>
            <w:r>
              <w:t>False negative result — missed Strep A in high-risk patient</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4B7AC8" w14:textId="77777777" w:rsidR="001F5CE9" w:rsidRDefault="004B5D01">
            <w:pPr>
              <w:spacing w:before="20" w:after="20"/>
              <w:jc w:val="center"/>
            </w:pPr>
            <w:r>
              <w:t>Low</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B22758" w14:textId="77777777" w:rsidR="001F5CE9" w:rsidRDefault="004B5D01">
            <w:pPr>
              <w:spacing w:before="20" w:after="20"/>
              <w:jc w:val="center"/>
            </w:pPr>
            <w:r>
              <w:t>High</w:t>
            </w:r>
          </w:p>
        </w:tc>
        <w:tc>
          <w:tcPr>
            <w:tcW w:w="4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9C28E4" w14:textId="77777777" w:rsidR="001F5CE9" w:rsidRDefault="004B5D01">
            <w:pPr>
              <w:spacing w:before="20" w:after="20"/>
            </w:pPr>
            <w:r>
              <w:t xml:space="preserve">Clinical decision-making pathway ensures high-risk patients are managed clinically regardless of POCT result. </w:t>
            </w:r>
            <w:proofErr w:type="spellStart"/>
            <w:r>
              <w:t>RhF</w:t>
            </w:r>
            <w:proofErr w:type="spellEnd"/>
            <w:r>
              <w:t xml:space="preserve"> risk stratification applied to all sore throat presentations.</w:t>
            </w:r>
          </w:p>
        </w:tc>
      </w:tr>
      <w:tr w:rsidR="001F5CE9" w14:paraId="72912F8C" w14:textId="77777777">
        <w:tc>
          <w:tcPr>
            <w:tcW w:w="25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182C11DD" w14:textId="77777777" w:rsidR="001F5CE9" w:rsidRDefault="004B5D01">
            <w:pPr>
              <w:spacing w:before="20" w:after="20"/>
            </w:pPr>
            <w:r>
              <w:t>Staff turnover — loss of trained POCT operator</w:t>
            </w:r>
          </w:p>
        </w:tc>
        <w:tc>
          <w:tcPr>
            <w:tcW w:w="13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6DB60B59" w14:textId="77777777" w:rsidR="001F5CE9" w:rsidRDefault="004B5D01">
            <w:pPr>
              <w:spacing w:before="20" w:after="20"/>
              <w:jc w:val="center"/>
            </w:pPr>
            <w:r>
              <w:t>Medium</w:t>
            </w:r>
          </w:p>
        </w:tc>
        <w:tc>
          <w:tcPr>
            <w:tcW w:w="13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7BDE3AC8" w14:textId="77777777" w:rsidR="001F5CE9" w:rsidRDefault="004B5D01">
            <w:pPr>
              <w:spacing w:before="20" w:after="20"/>
              <w:jc w:val="center"/>
            </w:pPr>
            <w:r>
              <w:t>Medium</w:t>
            </w:r>
          </w:p>
        </w:tc>
        <w:tc>
          <w:tcPr>
            <w:tcW w:w="42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1782089D" w14:textId="77777777" w:rsidR="001F5CE9" w:rsidRDefault="004B5D01">
            <w:r>
              <w:rPr>
                <w:i/>
                <w:iCs/>
                <w:color w:val="8B6914"/>
              </w:rPr>
              <w:t>[Maintain minimum of [X] trained operators at all times. Training completed for new staff within [X] weeks of joining. Training register maintained and reviewed quarterly.]</w:t>
            </w:r>
          </w:p>
        </w:tc>
      </w:tr>
      <w:tr w:rsidR="001F5CE9" w14:paraId="709C9600" w14:textId="77777777">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6D9F6C2" w14:textId="77777777" w:rsidR="001F5CE9" w:rsidRDefault="004B5D01">
            <w:pPr>
              <w:spacing w:before="20" w:after="20"/>
            </w:pPr>
            <w:r>
              <w:t>Insufficient test volume to maintain financial viability</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2DC55B5" w14:textId="77777777" w:rsidR="001F5CE9" w:rsidRDefault="004B5D01">
            <w:pPr>
              <w:spacing w:before="20" w:after="20"/>
              <w:jc w:val="center"/>
            </w:pPr>
            <w:r>
              <w:t>Low–Med</w:t>
            </w:r>
          </w:p>
        </w:tc>
        <w:tc>
          <w:tcPr>
            <w:tcW w:w="13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9D0C371" w14:textId="77777777" w:rsidR="001F5CE9" w:rsidRDefault="004B5D01">
            <w:pPr>
              <w:spacing w:before="20" w:after="20"/>
              <w:jc w:val="center"/>
            </w:pPr>
            <w:r>
              <w:t>Medium</w:t>
            </w:r>
          </w:p>
        </w:tc>
        <w:tc>
          <w:tcPr>
            <w:tcW w:w="4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8E692DA" w14:textId="77777777" w:rsidR="001F5CE9" w:rsidRDefault="004B5D01">
            <w:pPr>
              <w:spacing w:before="20" w:after="20"/>
            </w:pPr>
            <w:r>
              <w:t>Break-even volume analysis completed (Section 6). Regular monitoring of test volumes vs. projections. PHO notified if volume falls significantly below projections.</w:t>
            </w:r>
          </w:p>
        </w:tc>
      </w:tr>
      <w:tr w:rsidR="001F5CE9" w14:paraId="68E79AD6" w14:textId="77777777">
        <w:tc>
          <w:tcPr>
            <w:tcW w:w="25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423371EA" w14:textId="77777777" w:rsidR="001F5CE9" w:rsidRDefault="004B5D01">
            <w:pPr>
              <w:spacing w:before="20" w:after="20"/>
            </w:pPr>
            <w:r>
              <w:t>Regulatory non-compliance</w:t>
            </w:r>
          </w:p>
        </w:tc>
        <w:tc>
          <w:tcPr>
            <w:tcW w:w="13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4AA5F7D9" w14:textId="77777777" w:rsidR="001F5CE9" w:rsidRDefault="004B5D01">
            <w:pPr>
              <w:spacing w:before="20" w:after="20"/>
              <w:jc w:val="center"/>
            </w:pPr>
            <w:r>
              <w:t>Low</w:t>
            </w:r>
          </w:p>
        </w:tc>
        <w:tc>
          <w:tcPr>
            <w:tcW w:w="13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5C221181" w14:textId="77777777" w:rsidR="001F5CE9" w:rsidRDefault="004B5D01">
            <w:pPr>
              <w:spacing w:before="20" w:after="20"/>
              <w:jc w:val="center"/>
            </w:pPr>
            <w:r>
              <w:t>High</w:t>
            </w:r>
          </w:p>
        </w:tc>
        <w:tc>
          <w:tcPr>
            <w:tcW w:w="42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22065B41" w14:textId="77777777" w:rsidR="001F5CE9" w:rsidRDefault="004B5D01">
            <w:pPr>
              <w:spacing w:before="20" w:after="20"/>
            </w:pPr>
            <w:r>
              <w:t>Compliance with all applicable standards confirmed prior to go-live. Pinnacle MHN clinical governance framework adopted in full. Regulatory review undertaken at annual governance review.</w:t>
            </w:r>
          </w:p>
        </w:tc>
      </w:tr>
      <w:tr w:rsidR="001F5CE9" w14:paraId="5AFBBBE5" w14:textId="77777777">
        <w:tc>
          <w:tcPr>
            <w:tcW w:w="25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182BF5DC" w14:textId="77777777" w:rsidR="001F5CE9" w:rsidRDefault="004B5D01">
            <w:r>
              <w:rPr>
                <w:i/>
                <w:iCs/>
                <w:color w:val="8B6914"/>
              </w:rPr>
              <w:t>[Add practice-specific risk]</w:t>
            </w:r>
          </w:p>
        </w:tc>
        <w:tc>
          <w:tcPr>
            <w:tcW w:w="13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6983C4E6" w14:textId="77777777" w:rsidR="001F5CE9" w:rsidRDefault="004B5D01">
            <w:r>
              <w:rPr>
                <w:i/>
                <w:iCs/>
                <w:color w:val="8B6914"/>
              </w:rPr>
              <w:t>[L/M/H]</w:t>
            </w:r>
          </w:p>
        </w:tc>
        <w:tc>
          <w:tcPr>
            <w:tcW w:w="13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7F258C6F" w14:textId="77777777" w:rsidR="001F5CE9" w:rsidRDefault="004B5D01">
            <w:r>
              <w:rPr>
                <w:i/>
                <w:iCs/>
                <w:color w:val="8B6914"/>
              </w:rPr>
              <w:t>[L/M/H]</w:t>
            </w:r>
          </w:p>
        </w:tc>
        <w:tc>
          <w:tcPr>
            <w:tcW w:w="420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E897934" w14:textId="77777777" w:rsidR="001F5CE9" w:rsidRDefault="004B5D01">
            <w:r>
              <w:rPr>
                <w:i/>
                <w:iCs/>
                <w:color w:val="8B6914"/>
              </w:rPr>
              <w:t>[Describe mitigation strategy]</w:t>
            </w:r>
          </w:p>
        </w:tc>
      </w:tr>
    </w:tbl>
    <w:p w14:paraId="066431A3" w14:textId="77777777" w:rsidR="001F5CE9" w:rsidRDefault="001F5CE9">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CE9" w14:paraId="4B6FC876" w14:textId="77777777">
        <w:tc>
          <w:tcPr>
            <w:tcW w:w="9360" w:type="dxa"/>
            <w:tcBorders>
              <w:top w:val="single" w:sz="4" w:space="0" w:color="CCCCCC"/>
              <w:left w:val="single" w:sz="20" w:space="0" w:color="2D6A4F"/>
              <w:bottom w:val="single" w:sz="4" w:space="0" w:color="CCCCCC"/>
              <w:right w:val="none" w:sz="0" w:space="0" w:color="FFFFFF"/>
            </w:tcBorders>
            <w:shd w:val="clear" w:color="auto" w:fill="D8F3DC"/>
            <w:tcMar>
              <w:top w:w="120" w:type="dxa"/>
              <w:left w:w="200" w:type="dxa"/>
              <w:bottom w:w="120" w:type="dxa"/>
              <w:right w:w="200" w:type="dxa"/>
            </w:tcMar>
          </w:tcPr>
          <w:p w14:paraId="4CD0EDD7" w14:textId="77777777" w:rsidR="001F5CE9" w:rsidRDefault="004B5D01">
            <w:pPr>
              <w:spacing w:after="80"/>
            </w:pPr>
            <w:r>
              <w:rPr>
                <w:b/>
                <w:bCs/>
                <w:color w:val="1B4332"/>
                <w:sz w:val="21"/>
                <w:szCs w:val="21"/>
              </w:rPr>
              <w:t>Risk Rating Key</w:t>
            </w:r>
          </w:p>
          <w:p w14:paraId="064130B8" w14:textId="77777777" w:rsidR="001F5CE9" w:rsidRDefault="004B5D01">
            <w:pPr>
              <w:spacing w:after="60"/>
            </w:pPr>
            <w:r>
              <w:rPr>
                <w:i/>
                <w:iCs/>
                <w:color w:val="3A5A4A"/>
                <w:sz w:val="19"/>
                <w:szCs w:val="19"/>
              </w:rPr>
              <w:t>Likelihood: Low = unlikely to occur | Medium = may occur occasionally | High = likely to occur</w:t>
            </w:r>
          </w:p>
          <w:p w14:paraId="0DF6ADA2" w14:textId="77777777" w:rsidR="001F5CE9" w:rsidRDefault="004B5D01">
            <w:pPr>
              <w:spacing w:after="60"/>
            </w:pPr>
            <w:r>
              <w:rPr>
                <w:i/>
                <w:iCs/>
                <w:color w:val="3A5A4A"/>
                <w:sz w:val="19"/>
                <w:szCs w:val="19"/>
              </w:rPr>
              <w:t>Impact: Low = minor disruption | Medium = moderate clinical or financial impact | High = significant patient harm or regulatory consequence</w:t>
            </w:r>
          </w:p>
        </w:tc>
      </w:tr>
    </w:tbl>
    <w:p w14:paraId="1A6A41F1" w14:textId="77777777" w:rsidR="001F5CE9" w:rsidRDefault="001F5CE9">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1F5CE9" w14:paraId="680CA5D8" w14:textId="77777777">
        <w:tc>
          <w:tcPr>
            <w:tcW w:w="600" w:type="dxa"/>
            <w:tcBorders>
              <w:top w:val="single" w:sz="6" w:space="0" w:color="2D6A4F"/>
              <w:left w:val="single" w:sz="6" w:space="0" w:color="2D6A4F"/>
              <w:bottom w:val="single" w:sz="6" w:space="0" w:color="2D6A4F"/>
              <w:right w:val="single" w:sz="6" w:space="0" w:color="2D6A4F"/>
            </w:tcBorders>
            <w:shd w:val="clear" w:color="auto" w:fill="2D6A4F"/>
            <w:tcMar>
              <w:top w:w="80" w:type="dxa"/>
              <w:left w:w="120" w:type="dxa"/>
              <w:bottom w:w="80" w:type="dxa"/>
              <w:right w:w="120" w:type="dxa"/>
            </w:tcMar>
            <w:vAlign w:val="center"/>
          </w:tcPr>
          <w:p w14:paraId="797083AD" w14:textId="77777777" w:rsidR="001F5CE9" w:rsidRDefault="004B5D01">
            <w:pPr>
              <w:jc w:val="center"/>
            </w:pPr>
            <w:r>
              <w:rPr>
                <w:b/>
                <w:bCs/>
                <w:color w:val="FFFFFF"/>
                <w:sz w:val="28"/>
                <w:szCs w:val="28"/>
              </w:rPr>
              <w:t>9</w:t>
            </w:r>
          </w:p>
        </w:tc>
        <w:tc>
          <w:tcPr>
            <w:tcW w:w="87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200" w:type="dxa"/>
              <w:bottom w:w="80" w:type="dxa"/>
              <w:right w:w="120" w:type="dxa"/>
            </w:tcMar>
            <w:vAlign w:val="center"/>
          </w:tcPr>
          <w:p w14:paraId="6C788ED6" w14:textId="77777777" w:rsidR="001F5CE9" w:rsidRDefault="004B5D01">
            <w:r>
              <w:rPr>
                <w:b/>
                <w:bCs/>
                <w:color w:val="FFFFFF"/>
                <w:sz w:val="26"/>
                <w:szCs w:val="26"/>
              </w:rPr>
              <w:t>Recommendation and Sign-off</w:t>
            </w:r>
          </w:p>
        </w:tc>
      </w:tr>
    </w:tbl>
    <w:p w14:paraId="48434448" w14:textId="77777777" w:rsidR="001F5CE9" w:rsidRDefault="001F5CE9">
      <w:pPr>
        <w:spacing w:before="80" w:after="80"/>
      </w:pPr>
    </w:p>
    <w:p w14:paraId="579F5ED0" w14:textId="77777777" w:rsidR="001F5CE9" w:rsidRDefault="004B5D01">
      <w:pPr>
        <w:spacing w:before="60"/>
        <w:ind w:left="180"/>
      </w:pPr>
      <w:r>
        <w:rPr>
          <w:i/>
          <w:iCs/>
          <w:color w:val="3A7A5A"/>
          <w:sz w:val="19"/>
          <w:szCs w:val="19"/>
        </w:rPr>
        <w:t>Summarise your recommendation clearly and concisely. The sign-off section formalises the business case as a submission document. All three signatories should review the completed document before submission to the PHO or funder.</w:t>
      </w:r>
    </w:p>
    <w:p w14:paraId="1805378B" w14:textId="77777777" w:rsidR="001F5CE9" w:rsidRDefault="001F5CE9">
      <w:pPr>
        <w:spacing w:before="80" w:after="80"/>
      </w:pPr>
    </w:p>
    <w:p w14:paraId="1B308B24" w14:textId="77777777" w:rsidR="001F5CE9" w:rsidRDefault="004B5D01">
      <w:pPr>
        <w:pStyle w:val="Heading2"/>
      </w:pPr>
      <w:proofErr w:type="gramStart"/>
      <w:r>
        <w:t>9.1  Summary</w:t>
      </w:r>
      <w:proofErr w:type="gramEnd"/>
      <w:r>
        <w:t xml:space="preserve"> Recommendation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CE9" w14:paraId="5DBD1E34" w14:textId="77777777">
        <w:tc>
          <w:tcPr>
            <w:tcW w:w="9360" w:type="dxa"/>
            <w:tcBorders>
              <w:top w:val="single" w:sz="6" w:space="0" w:color="2D6A4F"/>
              <w:left w:val="single" w:sz="6" w:space="0" w:color="2D6A4F"/>
              <w:bottom w:val="single" w:sz="6" w:space="0" w:color="2D6A4F"/>
              <w:right w:val="single" w:sz="6" w:space="0" w:color="2D6A4F"/>
            </w:tcBorders>
            <w:shd w:val="clear" w:color="auto" w:fill="FFFACD"/>
            <w:tcMar>
              <w:top w:w="200" w:type="dxa"/>
              <w:left w:w="240" w:type="dxa"/>
              <w:bottom w:w="200" w:type="dxa"/>
              <w:right w:w="240" w:type="dxa"/>
            </w:tcMar>
          </w:tcPr>
          <w:p w14:paraId="3056AE09" w14:textId="77777777" w:rsidR="001F5CE9" w:rsidRDefault="004B5D01">
            <w:r>
              <w:rPr>
                <w:b/>
                <w:bCs/>
                <w:i/>
                <w:iCs/>
                <w:color w:val="8B6914"/>
                <w:sz w:val="21"/>
                <w:szCs w:val="21"/>
              </w:rPr>
              <w:t>[Practice Name] recommends implementing a Point-of-Care Testing programme for Strep A using the Abbott ID Now device.</w:t>
            </w:r>
          </w:p>
          <w:p w14:paraId="085F4D77" w14:textId="77777777" w:rsidR="001F5CE9" w:rsidRDefault="004B5D01">
            <w:r>
              <w:rPr>
                <w:i/>
                <w:iCs/>
                <w:color w:val="8B6914"/>
              </w:rPr>
              <w:t>[Summarise the preferred funding option in one to two sentences. Reference your enrolled population size, the proportion of high-risk patients, and the expected clinical and financial benefits. For example: "With an enrolled population of [Enrolled Population Size] including [%] Māori and Pacific patients, POCT for Strep A will directly reduce the risk of preventable Rheumatic Fever, improve same-consultation treatment rates, and deliver an estimated net annual benefit of $[Amount] to the practice."]</w:t>
            </w:r>
          </w:p>
          <w:p w14:paraId="4B2B7891" w14:textId="77777777" w:rsidR="001F5CE9" w:rsidRDefault="004B5D01">
            <w:pPr>
              <w:spacing w:after="0"/>
            </w:pPr>
            <w:r>
              <w:rPr>
                <w:i/>
                <w:iCs/>
                <w:color w:val="8B6914"/>
              </w:rPr>
              <w:t>[State the specific funding requested: e.g. "We request PHO co-funding of $[Device Cost] for device acquisition and $[Annual Consumable Budget] per annum for consumables, in line with Option [C/D] outlined in Section 5 of this business case."]</w:t>
            </w:r>
          </w:p>
        </w:tc>
      </w:tr>
    </w:tbl>
    <w:p w14:paraId="3B3C8E54" w14:textId="77777777" w:rsidR="001F5CE9" w:rsidRDefault="001F5CE9">
      <w:pPr>
        <w:spacing w:before="120" w:after="120"/>
      </w:pPr>
    </w:p>
    <w:p w14:paraId="1D2CF366" w14:textId="77777777" w:rsidR="001F5CE9" w:rsidRDefault="004B5D01">
      <w:pPr>
        <w:pStyle w:val="Heading2"/>
      </w:pPr>
      <w:proofErr w:type="gramStart"/>
      <w:r>
        <w:t>9.2  Strategic</w:t>
      </w:r>
      <w:proofErr w:type="gramEnd"/>
      <w:r>
        <w:t xml:space="preserve"> Alignment</w:t>
      </w:r>
    </w:p>
    <w:p w14:paraId="60826373" w14:textId="77777777" w:rsidR="001F5CE9" w:rsidRDefault="004B5D01">
      <w:pPr>
        <w:spacing w:before="60"/>
        <w:ind w:left="180"/>
      </w:pPr>
      <w:r>
        <w:rPr>
          <w:i/>
          <w:iCs/>
          <w:color w:val="3A7A5A"/>
          <w:sz w:val="19"/>
          <w:szCs w:val="19"/>
        </w:rPr>
        <w:t>Briefly articulate how this proposal aligns with the funder's strategic priorities. Reference relevant national strategies, equity targets, or PHO performance frameworks.</w:t>
      </w:r>
    </w:p>
    <w:p w14:paraId="052E12FD" w14:textId="77777777" w:rsidR="001F5CE9" w:rsidRDefault="004B5D01">
      <w:pPr>
        <w:pStyle w:val="ListParagraph"/>
        <w:numPr>
          <w:ilvl w:val="0"/>
          <w:numId w:val="3"/>
        </w:numPr>
        <w:spacing w:before="40" w:after="40"/>
      </w:pPr>
      <w:r>
        <w:rPr>
          <w:i/>
          <w:iCs/>
          <w:color w:val="8B6914"/>
        </w:rPr>
        <w:t xml:space="preserve">[Alignment with the national Rheumatic Fever Prevention Programme and He Korowai </w:t>
      </w:r>
      <w:proofErr w:type="spellStart"/>
      <w:r>
        <w:rPr>
          <w:i/>
          <w:iCs/>
          <w:color w:val="8B6914"/>
        </w:rPr>
        <w:t>Oranga</w:t>
      </w:r>
      <w:proofErr w:type="spellEnd"/>
      <w:r>
        <w:rPr>
          <w:i/>
          <w:iCs/>
          <w:color w:val="8B6914"/>
        </w:rPr>
        <w:t xml:space="preserve"> / </w:t>
      </w:r>
      <w:proofErr w:type="spellStart"/>
      <w:r>
        <w:rPr>
          <w:i/>
          <w:iCs/>
          <w:color w:val="8B6914"/>
        </w:rPr>
        <w:t>Maori</w:t>
      </w:r>
      <w:proofErr w:type="spellEnd"/>
      <w:r>
        <w:rPr>
          <w:i/>
          <w:iCs/>
          <w:color w:val="8B6914"/>
        </w:rPr>
        <w:t xml:space="preserve"> Health Strategy]</w:t>
      </w:r>
    </w:p>
    <w:p w14:paraId="539B3014" w14:textId="77777777" w:rsidR="001F5CE9" w:rsidRDefault="004B5D01">
      <w:pPr>
        <w:pStyle w:val="ListParagraph"/>
        <w:numPr>
          <w:ilvl w:val="0"/>
          <w:numId w:val="3"/>
        </w:numPr>
        <w:spacing w:before="40" w:after="40"/>
      </w:pPr>
      <w:r>
        <w:rPr>
          <w:i/>
          <w:iCs/>
          <w:color w:val="8B6914"/>
        </w:rPr>
        <w:t>[Alignment with PHO performance programme indicators for health equity and primary care access]</w:t>
      </w:r>
    </w:p>
    <w:p w14:paraId="039043A4" w14:textId="77777777" w:rsidR="001F5CE9" w:rsidRDefault="004B5D01">
      <w:pPr>
        <w:pStyle w:val="ListParagraph"/>
        <w:numPr>
          <w:ilvl w:val="0"/>
          <w:numId w:val="3"/>
        </w:numPr>
        <w:spacing w:before="40" w:after="40"/>
      </w:pPr>
      <w:r>
        <w:rPr>
          <w:i/>
          <w:iCs/>
          <w:color w:val="8B6914"/>
        </w:rPr>
        <w:t>[Alignment with Pinnacle MHN’s clinical governance framework and POCT programme across the Midlands region]</w:t>
      </w:r>
    </w:p>
    <w:p w14:paraId="507F8BEC" w14:textId="77777777" w:rsidR="001F5CE9" w:rsidRDefault="004B5D01">
      <w:pPr>
        <w:pStyle w:val="ListParagraph"/>
        <w:numPr>
          <w:ilvl w:val="0"/>
          <w:numId w:val="3"/>
        </w:numPr>
        <w:spacing w:before="40" w:after="40"/>
      </w:pPr>
      <w:r>
        <w:rPr>
          <w:i/>
          <w:iCs/>
          <w:color w:val="8B6914"/>
        </w:rPr>
        <w:t>[Alignment with Te Whatu Ora / Health New Zealand Midlands regional health plan priorities]</w:t>
      </w:r>
    </w:p>
    <w:p w14:paraId="4827B00E" w14:textId="64A091A3" w:rsidR="001F5CE9" w:rsidRDefault="004B5D01">
      <w:pPr>
        <w:pStyle w:val="ListParagraph"/>
        <w:numPr>
          <w:ilvl w:val="0"/>
          <w:numId w:val="3"/>
        </w:numPr>
        <w:spacing w:before="40" w:after="40"/>
      </w:pPr>
      <w:r w:rsidRPr="01736CFA">
        <w:rPr>
          <w:i/>
          <w:iCs/>
          <w:color w:val="8B6914"/>
        </w:rPr>
        <w:t xml:space="preserve">[Any other relevant strategic alignment: e.g. </w:t>
      </w:r>
      <w:r w:rsidR="1BA05E49" w:rsidRPr="01736CFA">
        <w:rPr>
          <w:i/>
          <w:iCs/>
          <w:color w:val="8B6914"/>
        </w:rPr>
        <w:t>Urgent and Unplanned Care Framework</w:t>
      </w:r>
      <w:r w:rsidRPr="01736CFA">
        <w:rPr>
          <w:i/>
          <w:iCs/>
          <w:color w:val="8B6914"/>
        </w:rPr>
        <w:t>, EPCC, HealthX programme]</w:t>
      </w:r>
    </w:p>
    <w:p w14:paraId="3599E254" w14:textId="77777777" w:rsidR="001F5CE9" w:rsidRDefault="001F5CE9">
      <w:pPr>
        <w:spacing w:before="120" w:after="120"/>
      </w:pPr>
    </w:p>
    <w:p w14:paraId="6B8C70CD" w14:textId="77777777" w:rsidR="001F5CE9" w:rsidRDefault="004B5D01">
      <w:pPr>
        <w:pStyle w:val="Heading2"/>
      </w:pPr>
      <w:proofErr w:type="gramStart"/>
      <w:r>
        <w:t>9.3  Supporting</w:t>
      </w:r>
      <w:proofErr w:type="gramEnd"/>
      <w:r>
        <w:t xml:space="preserve"> Documents Attached</w:t>
      </w:r>
    </w:p>
    <w:p w14:paraId="05D062D6" w14:textId="77777777" w:rsidR="001F5CE9" w:rsidRDefault="004B5D01">
      <w:pPr>
        <w:spacing w:before="60"/>
        <w:ind w:left="180"/>
      </w:pPr>
      <w:r>
        <w:rPr>
          <w:i/>
          <w:iCs/>
          <w:color w:val="3A7A5A"/>
          <w:sz w:val="19"/>
          <w:szCs w:val="19"/>
        </w:rPr>
        <w:t>List all documents attached to or referenced in this business case. Include Pinnacle MHN clinical governance documents where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5058"/>
        <w:gridCol w:w="3128"/>
      </w:tblGrid>
      <w:tr w:rsidR="001F5CE9" w14:paraId="5C02105B" w14:textId="77777777">
        <w:trPr>
          <w:tblHeader/>
        </w:trPr>
        <w:tc>
          <w:tcPr>
            <w:tcW w:w="48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266C50AF" w14:textId="77777777" w:rsidR="001F5CE9" w:rsidRDefault="004B5D01">
            <w:pPr>
              <w:jc w:val="center"/>
            </w:pPr>
            <w:r>
              <w:rPr>
                <w:b/>
                <w:bCs/>
                <w:color w:val="FFFFFF"/>
              </w:rPr>
              <w:t>#</w:t>
            </w:r>
          </w:p>
        </w:tc>
        <w:tc>
          <w:tcPr>
            <w:tcW w:w="552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2460121B" w14:textId="77777777" w:rsidR="001F5CE9" w:rsidRDefault="004B5D01">
            <w:pPr>
              <w:jc w:val="center"/>
            </w:pPr>
            <w:r>
              <w:rPr>
                <w:b/>
                <w:bCs/>
                <w:color w:val="FFFFFF"/>
              </w:rPr>
              <w:t>Document Title</w:t>
            </w:r>
          </w:p>
        </w:tc>
        <w:tc>
          <w:tcPr>
            <w:tcW w:w="3360" w:type="dxa"/>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14A3690F" w14:textId="77777777" w:rsidR="001F5CE9" w:rsidRDefault="004B5D01">
            <w:pPr>
              <w:jc w:val="center"/>
            </w:pPr>
            <w:r>
              <w:rPr>
                <w:b/>
                <w:bCs/>
                <w:color w:val="FFFFFF"/>
              </w:rPr>
              <w:t>Status / Reference</w:t>
            </w:r>
          </w:p>
        </w:tc>
      </w:tr>
      <w:tr w:rsidR="001F5CE9" w14:paraId="245539EB" w14:textId="77777777">
        <w:tc>
          <w:tcPr>
            <w:tcW w:w="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563A5DD5" w14:textId="77777777" w:rsidR="001F5CE9" w:rsidRDefault="004B5D01">
            <w:pPr>
              <w:spacing w:before="20" w:after="20"/>
            </w:pPr>
            <w:r>
              <w:t>1</w:t>
            </w:r>
          </w:p>
        </w:tc>
        <w:tc>
          <w:tcPr>
            <w:tcW w:w="55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182E8800" w14:textId="77777777" w:rsidR="001F5CE9" w:rsidRDefault="004B5D01">
            <w:pPr>
              <w:spacing w:before="20" w:after="20"/>
            </w:pPr>
            <w:r>
              <w:t>Pinnacle MHN POCT Clinical Governance Guidelines</w:t>
            </w:r>
          </w:p>
        </w:tc>
        <w:tc>
          <w:tcPr>
            <w:tcW w:w="3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4C2436C0" w14:textId="77777777" w:rsidR="001F5CE9" w:rsidRDefault="004B5D01">
            <w:r>
              <w:rPr>
                <w:i/>
                <w:iCs/>
                <w:color w:val="8B6914"/>
              </w:rPr>
              <w:t>[Document version / date]</w:t>
            </w:r>
          </w:p>
        </w:tc>
      </w:tr>
      <w:tr w:rsidR="001F5CE9" w14:paraId="774A1EE4" w14:textId="77777777">
        <w:tc>
          <w:tcPr>
            <w:tcW w:w="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9BC1DD" w14:textId="77777777" w:rsidR="001F5CE9" w:rsidRDefault="004B5D01">
            <w:pPr>
              <w:spacing w:before="20" w:after="20"/>
            </w:pPr>
            <w:r>
              <w:t>2</w:t>
            </w:r>
          </w:p>
        </w:tc>
        <w:tc>
          <w:tcPr>
            <w:tcW w:w="55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691ECB" w14:textId="77777777" w:rsidR="001F5CE9" w:rsidRDefault="004B5D01">
            <w:pPr>
              <w:spacing w:before="20" w:after="20"/>
            </w:pPr>
            <w:r>
              <w:t>Pinnacle MHN POCT Operator Training Standards</w:t>
            </w:r>
          </w:p>
        </w:tc>
        <w:tc>
          <w:tcPr>
            <w:tcW w:w="3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59CF0D9D" w14:textId="77777777" w:rsidR="001F5CE9" w:rsidRDefault="004B5D01">
            <w:r>
              <w:rPr>
                <w:i/>
                <w:iCs/>
                <w:color w:val="8B6914"/>
              </w:rPr>
              <w:t>[Document version / date]</w:t>
            </w:r>
          </w:p>
        </w:tc>
      </w:tr>
      <w:tr w:rsidR="001F5CE9" w14:paraId="2A9E360F" w14:textId="77777777">
        <w:tc>
          <w:tcPr>
            <w:tcW w:w="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71900F61" w14:textId="77777777" w:rsidR="001F5CE9" w:rsidRDefault="004B5D01">
            <w:pPr>
              <w:spacing w:before="20" w:after="20"/>
            </w:pPr>
            <w:r>
              <w:t>3</w:t>
            </w:r>
          </w:p>
        </w:tc>
        <w:tc>
          <w:tcPr>
            <w:tcW w:w="55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EAAF480" w14:textId="77777777" w:rsidR="001F5CE9" w:rsidRDefault="004B5D01">
            <w:pPr>
              <w:spacing w:before="20" w:after="20"/>
            </w:pPr>
            <w:r>
              <w:t>Rheumatic Fever Prevention Guideline</w:t>
            </w:r>
          </w:p>
        </w:tc>
        <w:tc>
          <w:tcPr>
            <w:tcW w:w="3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F729A82" w14:textId="77777777" w:rsidR="001F5CE9" w:rsidRDefault="004B5D01">
            <w:r>
              <w:rPr>
                <w:i/>
                <w:iCs/>
                <w:color w:val="8B6914"/>
              </w:rPr>
              <w:t>[Document version / date]</w:t>
            </w:r>
          </w:p>
        </w:tc>
      </w:tr>
      <w:tr w:rsidR="001F5CE9" w14:paraId="3C2531D1" w14:textId="77777777">
        <w:tc>
          <w:tcPr>
            <w:tcW w:w="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28CA635" w14:textId="77777777" w:rsidR="001F5CE9" w:rsidRDefault="004B5D01">
            <w:pPr>
              <w:spacing w:before="20" w:after="20"/>
            </w:pPr>
            <w:r>
              <w:t>4</w:t>
            </w:r>
          </w:p>
        </w:tc>
        <w:tc>
          <w:tcPr>
            <w:tcW w:w="55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8D1010B" w14:textId="77777777" w:rsidR="001F5CE9" w:rsidRDefault="004B5D01">
            <w:pPr>
              <w:spacing w:before="20" w:after="20"/>
            </w:pPr>
            <w:r>
              <w:t>Abbott ID Now Device Specification Sheet</w:t>
            </w:r>
          </w:p>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21C8E7" w14:textId="77777777" w:rsidR="001F5CE9" w:rsidRDefault="004B5D01">
            <w:pPr>
              <w:spacing w:before="20" w:after="20"/>
            </w:pPr>
            <w:r>
              <w:t>[Attached / available on request from Abbott]</w:t>
            </w:r>
          </w:p>
        </w:tc>
      </w:tr>
      <w:tr w:rsidR="001F5CE9" w14:paraId="71150A02" w14:textId="77777777">
        <w:tc>
          <w:tcPr>
            <w:tcW w:w="48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79F4E7FA" w14:textId="77777777" w:rsidR="001F5CE9" w:rsidRDefault="004B5D01">
            <w:pPr>
              <w:spacing w:before="20" w:after="20"/>
            </w:pPr>
            <w:r>
              <w:t>5</w:t>
            </w:r>
          </w:p>
        </w:tc>
        <w:tc>
          <w:tcPr>
            <w:tcW w:w="552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437465D8" w14:textId="77777777" w:rsidR="001F5CE9" w:rsidRDefault="004B5D01">
            <w:pPr>
              <w:spacing w:before="20" w:after="20"/>
            </w:pPr>
            <w:r>
              <w:t>National POCT Cost-Benefit Analysis — Pinnacle MHN Modelling Spreadsheet</w:t>
            </w:r>
          </w:p>
        </w:tc>
        <w:tc>
          <w:tcPr>
            <w:tcW w:w="3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6373EB41" w14:textId="77777777" w:rsidR="001F5CE9" w:rsidRDefault="004B5D01">
            <w:r>
              <w:rPr>
                <w:i/>
                <w:iCs/>
                <w:color w:val="8B6914"/>
              </w:rPr>
              <w:t>[Reference version / author]</w:t>
            </w:r>
          </w:p>
        </w:tc>
      </w:tr>
      <w:tr w:rsidR="001F5CE9" w14:paraId="7A5C2C99" w14:textId="77777777">
        <w:tc>
          <w:tcPr>
            <w:tcW w:w="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F2DD00F" w14:textId="77777777" w:rsidR="001F5CE9" w:rsidRDefault="004B5D01">
            <w:pPr>
              <w:spacing w:before="20" w:after="20"/>
            </w:pPr>
            <w:r>
              <w:t>6</w:t>
            </w:r>
          </w:p>
        </w:tc>
        <w:tc>
          <w:tcPr>
            <w:tcW w:w="55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B93A77E" w14:textId="77777777" w:rsidR="001F5CE9" w:rsidRDefault="004B5D01">
            <w:pPr>
              <w:spacing w:before="20" w:after="20"/>
            </w:pPr>
            <w:r>
              <w:t xml:space="preserve">Real-World Outcomes Data — South Auckland / </w:t>
            </w:r>
            <w:proofErr w:type="spellStart"/>
            <w:r>
              <w:t>Turangi</w:t>
            </w:r>
            <w:proofErr w:type="spellEnd"/>
            <w:r>
              <w:t xml:space="preserve"> / South Taranaki</w:t>
            </w:r>
          </w:p>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8D50A8" w14:textId="77777777" w:rsidR="001F5CE9" w:rsidRDefault="004B5D01">
            <w:pPr>
              <w:spacing w:before="20" w:after="20"/>
            </w:pPr>
            <w:r>
              <w:t>[Available from Pinnacle MHN on request]</w:t>
            </w:r>
          </w:p>
        </w:tc>
      </w:tr>
      <w:tr w:rsidR="001F5CE9" w14:paraId="484AACC4" w14:textId="77777777">
        <w:tc>
          <w:tcPr>
            <w:tcW w:w="48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D27D52E" w14:textId="77777777" w:rsidR="001F5CE9" w:rsidRDefault="004B5D01">
            <w:r>
              <w:rPr>
                <w:i/>
                <w:iCs/>
                <w:color w:val="8B6914"/>
              </w:rPr>
              <w:t>[</w:t>
            </w:r>
            <w:proofErr w:type="gramStart"/>
            <w:r>
              <w:rPr>
                <w:i/>
                <w:iCs/>
                <w:color w:val="8B6914"/>
              </w:rPr>
              <w:t>Other</w:t>
            </w:r>
            <w:proofErr w:type="gramEnd"/>
            <w:r>
              <w:rPr>
                <w:i/>
                <w:iCs/>
                <w:color w:val="8B6914"/>
              </w:rPr>
              <w:t xml:space="preserve"> document]</w:t>
            </w:r>
          </w:p>
        </w:tc>
        <w:tc>
          <w:tcPr>
            <w:tcW w:w="552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C2A1942" w14:textId="77777777" w:rsidR="001F5CE9" w:rsidRDefault="004B5D01">
            <w:r>
              <w:rPr>
                <w:i/>
                <w:iCs/>
                <w:color w:val="8B6914"/>
              </w:rPr>
              <w:t>[Document title]</w:t>
            </w:r>
          </w:p>
        </w:tc>
        <w:tc>
          <w:tcPr>
            <w:tcW w:w="3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3617C0C2" w14:textId="77777777" w:rsidR="001F5CE9" w:rsidRDefault="004B5D01">
            <w:r>
              <w:rPr>
                <w:i/>
                <w:iCs/>
                <w:color w:val="8B6914"/>
              </w:rPr>
              <w:t>[Reference]</w:t>
            </w:r>
          </w:p>
        </w:tc>
      </w:tr>
    </w:tbl>
    <w:p w14:paraId="73D2B052" w14:textId="77777777" w:rsidR="001F5CE9" w:rsidRDefault="001F5CE9">
      <w:pPr>
        <w:pageBreakBefore/>
        <w:spacing w:after="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CE9" w14:paraId="23077FFD" w14:textId="77777777">
        <w:tc>
          <w:tcPr>
            <w:tcW w:w="9360" w:type="dxa"/>
            <w:tcBorders>
              <w:top w:val="single" w:sz="6" w:space="0" w:color="2D6A4F"/>
              <w:left w:val="single" w:sz="6" w:space="0" w:color="2D6A4F"/>
              <w:bottom w:val="single" w:sz="6" w:space="0" w:color="2D6A4F"/>
              <w:right w:val="single" w:sz="6" w:space="0" w:color="2D6A4F"/>
            </w:tcBorders>
            <w:shd w:val="clear" w:color="auto" w:fill="1B4332"/>
            <w:tcMar>
              <w:top w:w="240" w:type="dxa"/>
              <w:left w:w="300" w:type="dxa"/>
              <w:bottom w:w="240" w:type="dxa"/>
              <w:right w:w="300" w:type="dxa"/>
            </w:tcMar>
          </w:tcPr>
          <w:p w14:paraId="74C320D0" w14:textId="77777777" w:rsidR="001F5CE9" w:rsidRDefault="004B5D01">
            <w:pPr>
              <w:spacing w:after="80"/>
              <w:jc w:val="center"/>
            </w:pPr>
            <w:r>
              <w:rPr>
                <w:b/>
                <w:bCs/>
                <w:caps/>
                <w:color w:val="FFFFFF"/>
                <w:sz w:val="32"/>
                <w:szCs w:val="32"/>
              </w:rPr>
              <w:t>AUTHORISATION &amp; SIGN-OFF</w:t>
            </w:r>
          </w:p>
          <w:p w14:paraId="7CCEC278" w14:textId="77777777" w:rsidR="001F5CE9" w:rsidRDefault="004B5D01">
            <w:pPr>
              <w:jc w:val="center"/>
            </w:pPr>
            <w:r>
              <w:rPr>
                <w:color w:val="D8F3DC"/>
                <w:sz w:val="21"/>
                <w:szCs w:val="21"/>
              </w:rPr>
              <w:t>POCT Implementation Business Case | General Practice</w:t>
            </w:r>
          </w:p>
        </w:tc>
      </w:tr>
    </w:tbl>
    <w:p w14:paraId="71C5D344" w14:textId="77777777" w:rsidR="001F5CE9" w:rsidRDefault="001F5CE9">
      <w:pPr>
        <w:spacing w:before="80" w:after="80"/>
      </w:pPr>
    </w:p>
    <w:p w14:paraId="4D46C70C" w14:textId="77777777" w:rsidR="001F5CE9" w:rsidRDefault="004B5D01">
      <w:pPr>
        <w:spacing w:before="60"/>
        <w:ind w:left="180"/>
      </w:pPr>
      <w:r>
        <w:rPr>
          <w:i/>
          <w:iCs/>
          <w:color w:val="3A7A5A"/>
          <w:sz w:val="19"/>
          <w:szCs w:val="19"/>
        </w:rPr>
        <w:t>This document should be reviewed and signed by all three parties prior to submission to the PHO or health funder. By signing, each party confirms that the information contained in this business case is accurate to the best of their knowledge and that they support the recommendation outlined in Section 9.</w:t>
      </w:r>
    </w:p>
    <w:p w14:paraId="2F4EEE0E" w14:textId="77777777" w:rsidR="001F5CE9" w:rsidRDefault="001F5CE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1F5CE9" w14:paraId="1F623583" w14:textId="77777777">
        <w:trPr>
          <w:tblHeader/>
        </w:trPr>
        <w:tc>
          <w:tcPr>
            <w:tcW w:w="9360" w:type="dxa"/>
            <w:gridSpan w:val="2"/>
            <w:tcBorders>
              <w:top w:val="single" w:sz="6" w:space="0" w:color="2D6A4F"/>
              <w:left w:val="single" w:sz="6" w:space="0" w:color="2D6A4F"/>
              <w:bottom w:val="single" w:sz="6" w:space="0" w:color="2D6A4F"/>
              <w:right w:val="single" w:sz="6" w:space="0" w:color="2D6A4F"/>
            </w:tcBorders>
            <w:shd w:val="clear" w:color="auto" w:fill="1B4332"/>
            <w:tcMar>
              <w:top w:w="80" w:type="dxa"/>
              <w:left w:w="120" w:type="dxa"/>
              <w:bottom w:w="80" w:type="dxa"/>
              <w:right w:w="120" w:type="dxa"/>
            </w:tcMar>
            <w:vAlign w:val="center"/>
          </w:tcPr>
          <w:p w14:paraId="020F48A3" w14:textId="77777777" w:rsidR="001F5CE9" w:rsidRDefault="004B5D01">
            <w:pPr>
              <w:jc w:val="center"/>
            </w:pPr>
            <w:r>
              <w:rPr>
                <w:b/>
                <w:bCs/>
                <w:color w:val="FFFFFF"/>
              </w:rPr>
              <w:t>Practice Details</w:t>
            </w:r>
          </w:p>
        </w:tc>
      </w:tr>
      <w:tr w:rsidR="001F5CE9" w14:paraId="28E83373"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15ABA116" w14:textId="77777777" w:rsidR="001F5CE9" w:rsidRDefault="004B5D01">
            <w:r>
              <w:rPr>
                <w:b/>
                <w:bCs/>
                <w:color w:val="1B4332"/>
              </w:rPr>
              <w:t>Practice Name</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744F7FD6" w14:textId="77777777" w:rsidR="001F5CE9" w:rsidRDefault="004B5D01">
            <w:r>
              <w:rPr>
                <w:i/>
                <w:iCs/>
                <w:color w:val="8B6914"/>
              </w:rPr>
              <w:t>[Practice Name]</w:t>
            </w:r>
          </w:p>
        </w:tc>
      </w:tr>
      <w:tr w:rsidR="001F5CE9" w14:paraId="33D97A2A"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6F0A7C3F" w14:textId="77777777" w:rsidR="001F5CE9" w:rsidRDefault="004B5D01">
            <w:r>
              <w:rPr>
                <w:b/>
                <w:bCs/>
                <w:color w:val="1B4332"/>
              </w:rPr>
              <w:t>Business Case Title</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004D62F1" w14:textId="77777777" w:rsidR="001F5CE9" w:rsidRDefault="004B5D01">
            <w:r>
              <w:rPr>
                <w:i/>
                <w:iCs/>
                <w:color w:val="8B6914"/>
              </w:rPr>
              <w:t>POCT (Point-of-Care Testing) Implementation Business Case</w:t>
            </w:r>
          </w:p>
        </w:tc>
      </w:tr>
      <w:tr w:rsidR="001F5CE9" w14:paraId="5C2DFADD"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39306318" w14:textId="77777777" w:rsidR="001F5CE9" w:rsidRDefault="004B5D01">
            <w:r>
              <w:rPr>
                <w:b/>
                <w:bCs/>
                <w:color w:val="1B4332"/>
              </w:rPr>
              <w:t>Submission Date</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10565CAC" w14:textId="77777777" w:rsidR="001F5CE9" w:rsidRDefault="004B5D01">
            <w:r>
              <w:rPr>
                <w:i/>
                <w:iCs/>
                <w:color w:val="8B6914"/>
              </w:rPr>
              <w:t>[DD Month YYYY]</w:t>
            </w:r>
          </w:p>
        </w:tc>
      </w:tr>
      <w:tr w:rsidR="001F5CE9" w14:paraId="28A851FA" w14:textId="77777777">
        <w:tc>
          <w:tcPr>
            <w:tcW w:w="3000" w:type="dxa"/>
            <w:tcBorders>
              <w:top w:val="single" w:sz="4" w:space="0" w:color="CCCCCC"/>
              <w:left w:val="single" w:sz="4" w:space="0" w:color="CCCCCC"/>
              <w:bottom w:val="single" w:sz="4" w:space="0" w:color="CCCCCC"/>
              <w:right w:val="single" w:sz="4" w:space="0" w:color="CCCCCC"/>
            </w:tcBorders>
            <w:shd w:val="clear" w:color="auto" w:fill="D8F3DC"/>
            <w:tcMar>
              <w:top w:w="80" w:type="dxa"/>
              <w:left w:w="120" w:type="dxa"/>
              <w:bottom w:w="80" w:type="dxa"/>
              <w:right w:w="120" w:type="dxa"/>
            </w:tcMar>
          </w:tcPr>
          <w:p w14:paraId="6AFDDBF4" w14:textId="77777777" w:rsidR="001F5CE9" w:rsidRDefault="004B5D01">
            <w:r>
              <w:rPr>
                <w:b/>
                <w:bCs/>
                <w:color w:val="1B4332"/>
              </w:rPr>
              <w:t>Submitted To</w:t>
            </w:r>
          </w:p>
        </w:tc>
        <w:tc>
          <w:tcPr>
            <w:tcW w:w="6360" w:type="dxa"/>
            <w:tcBorders>
              <w:top w:val="single" w:sz="4" w:space="0" w:color="CCCCCC"/>
              <w:left w:val="single" w:sz="4" w:space="0" w:color="CCCCCC"/>
              <w:bottom w:val="single" w:sz="4" w:space="0" w:color="CCCCCC"/>
              <w:right w:val="single" w:sz="4" w:space="0" w:color="CCCCCC"/>
            </w:tcBorders>
            <w:shd w:val="clear" w:color="auto" w:fill="FFFACD"/>
            <w:tcMar>
              <w:top w:w="80" w:type="dxa"/>
              <w:left w:w="120" w:type="dxa"/>
              <w:bottom w:w="80" w:type="dxa"/>
              <w:right w:w="120" w:type="dxa"/>
            </w:tcMar>
          </w:tcPr>
          <w:p w14:paraId="27EC2085" w14:textId="77777777" w:rsidR="001F5CE9" w:rsidRDefault="004B5D01">
            <w:r>
              <w:rPr>
                <w:i/>
                <w:iCs/>
                <w:color w:val="8B6914"/>
              </w:rPr>
              <w:t>[PHO / Funder Name and Contact Name]</w:t>
            </w:r>
          </w:p>
        </w:tc>
      </w:tr>
    </w:tbl>
    <w:p w14:paraId="5C5DBE7B" w14:textId="77777777" w:rsidR="001F5CE9" w:rsidRDefault="001F5CE9">
      <w:pPr>
        <w:spacing w:before="200" w:after="200"/>
      </w:pPr>
    </w:p>
    <w:p w14:paraId="13616CA6" w14:textId="77777777" w:rsidR="001F5CE9" w:rsidRDefault="004B5D01">
      <w:pPr>
        <w:spacing w:before="60" w:after="80"/>
      </w:pPr>
      <w:r>
        <w:rPr>
          <w:b/>
          <w:bCs/>
        </w:rPr>
        <w:t>Signatures</w:t>
      </w:r>
    </w:p>
    <w:p w14:paraId="1B91C85D" w14:textId="77777777" w:rsidR="001F5CE9" w:rsidRDefault="001F5CE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0"/>
        <w:gridCol w:w="240"/>
        <w:gridCol w:w="2960"/>
        <w:gridCol w:w="240"/>
        <w:gridCol w:w="2960"/>
      </w:tblGrid>
      <w:tr w:rsidR="001F5CE9" w14:paraId="7D9AF1FE" w14:textId="77777777">
        <w:tc>
          <w:tcPr>
            <w:tcW w:w="2960"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42C06A22" w14:textId="77777777" w:rsidR="001F5CE9" w:rsidRDefault="004B5D01">
            <w:pPr>
              <w:spacing w:after="300"/>
            </w:pPr>
            <w:r>
              <w:rPr>
                <w:b/>
                <w:bCs/>
                <w:color w:val="1B4332"/>
                <w:sz w:val="21"/>
                <w:szCs w:val="21"/>
              </w:rPr>
              <w:t>Practice Owner / Manager</w:t>
            </w:r>
          </w:p>
          <w:p w14:paraId="6AB465BA" w14:textId="77777777" w:rsidR="001F5CE9" w:rsidRDefault="004B5D01">
            <w:pPr>
              <w:spacing w:after="80"/>
            </w:pPr>
            <w:r>
              <w:rPr>
                <w:i/>
                <w:iCs/>
                <w:color w:val="8B6914"/>
                <w:highlight w:val="yellow"/>
              </w:rPr>
              <w:t>[Name]</w:t>
            </w:r>
          </w:p>
          <w:p w14:paraId="25AF866F" w14:textId="77777777" w:rsidR="001F5CE9" w:rsidRDefault="004B5D01">
            <w:pPr>
              <w:spacing w:after="80"/>
            </w:pPr>
            <w:r>
              <w:rPr>
                <w:i/>
                <w:iCs/>
                <w:color w:val="8B6914"/>
                <w:highlight w:val="yellow"/>
              </w:rPr>
              <w:t>[Role / Designation]</w:t>
            </w:r>
          </w:p>
          <w:p w14:paraId="59C51F72" w14:textId="77777777" w:rsidR="001F5CE9" w:rsidRDefault="004B5D01">
            <w:pPr>
              <w:spacing w:before="160" w:after="60"/>
            </w:pPr>
            <w:r>
              <w:rPr>
                <w:b/>
                <w:bCs/>
              </w:rPr>
              <w:t>Signature:</w:t>
            </w:r>
          </w:p>
          <w:p w14:paraId="7A54516C" w14:textId="77777777" w:rsidR="001F5CE9" w:rsidRDefault="004B5D01">
            <w:pPr>
              <w:pBdr>
                <w:bottom w:val="single" w:sz="4" w:space="0" w:color="999999"/>
              </w:pBdr>
              <w:spacing w:after="120"/>
            </w:pPr>
            <w:r>
              <w:rPr>
                <w:sz w:val="22"/>
                <w:szCs w:val="22"/>
              </w:rPr>
              <w:t xml:space="preserve">                                              </w:t>
            </w:r>
          </w:p>
          <w:p w14:paraId="0FC4837D" w14:textId="77777777" w:rsidR="001F5CE9" w:rsidRDefault="004B5D01">
            <w:pPr>
              <w:spacing w:before="80" w:after="60"/>
            </w:pPr>
            <w:r>
              <w:rPr>
                <w:b/>
                <w:bCs/>
              </w:rPr>
              <w:t>Date:</w:t>
            </w:r>
          </w:p>
          <w:p w14:paraId="00F5116E" w14:textId="77777777" w:rsidR="001F5CE9" w:rsidRDefault="004B5D01">
            <w:pPr>
              <w:pBdr>
                <w:bottom w:val="single" w:sz="4" w:space="0" w:color="999999"/>
              </w:pBdr>
              <w:spacing w:after="0"/>
            </w:pPr>
            <w:r>
              <w:rPr>
                <w:sz w:val="22"/>
                <w:szCs w:val="22"/>
              </w:rPr>
              <w:t xml:space="preserve">                                              </w:t>
            </w:r>
          </w:p>
        </w:tc>
        <w:tc>
          <w:tcPr>
            <w:tcW w:w="240" w:type="dxa"/>
            <w:tcBorders>
              <w:top w:val="none" w:sz="0" w:space="0" w:color="FFFFFF"/>
              <w:left w:val="none" w:sz="0" w:space="0" w:color="FFFFFF"/>
              <w:bottom w:val="none" w:sz="0" w:space="0" w:color="FFFFFF"/>
              <w:right w:val="none" w:sz="0" w:space="0" w:color="FFFFFF"/>
            </w:tcBorders>
            <w:shd w:val="clear" w:color="auto" w:fill="FFFFFF"/>
          </w:tcPr>
          <w:p w14:paraId="54AA5338" w14:textId="77777777" w:rsidR="001F5CE9" w:rsidRDefault="001F5CE9"/>
        </w:tc>
        <w:tc>
          <w:tcPr>
            <w:tcW w:w="2960"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25477645" w14:textId="77777777" w:rsidR="001F5CE9" w:rsidRDefault="004B5D01">
            <w:pPr>
              <w:spacing w:after="300"/>
            </w:pPr>
            <w:r>
              <w:rPr>
                <w:b/>
                <w:bCs/>
                <w:color w:val="1B4332"/>
                <w:sz w:val="21"/>
                <w:szCs w:val="21"/>
              </w:rPr>
              <w:t>Clinical Lead (GP / NP)</w:t>
            </w:r>
          </w:p>
          <w:p w14:paraId="4190FBB9" w14:textId="77777777" w:rsidR="001F5CE9" w:rsidRDefault="004B5D01">
            <w:pPr>
              <w:spacing w:after="80"/>
            </w:pPr>
            <w:r>
              <w:rPr>
                <w:i/>
                <w:iCs/>
                <w:color w:val="8B6914"/>
                <w:highlight w:val="yellow"/>
              </w:rPr>
              <w:t>[Name]</w:t>
            </w:r>
          </w:p>
          <w:p w14:paraId="7215CD0F" w14:textId="77777777" w:rsidR="001F5CE9" w:rsidRDefault="004B5D01">
            <w:pPr>
              <w:spacing w:after="80"/>
            </w:pPr>
            <w:r>
              <w:rPr>
                <w:i/>
                <w:iCs/>
                <w:color w:val="8B6914"/>
                <w:highlight w:val="yellow"/>
              </w:rPr>
              <w:t>[Role / Designation]</w:t>
            </w:r>
          </w:p>
          <w:p w14:paraId="4968A505" w14:textId="77777777" w:rsidR="001F5CE9" w:rsidRDefault="004B5D01">
            <w:pPr>
              <w:spacing w:before="160" w:after="60"/>
            </w:pPr>
            <w:r>
              <w:rPr>
                <w:b/>
                <w:bCs/>
              </w:rPr>
              <w:t>Signature:</w:t>
            </w:r>
          </w:p>
          <w:p w14:paraId="4E8F924C" w14:textId="77777777" w:rsidR="001F5CE9" w:rsidRDefault="004B5D01">
            <w:pPr>
              <w:pBdr>
                <w:bottom w:val="single" w:sz="4" w:space="0" w:color="999999"/>
              </w:pBdr>
              <w:spacing w:after="120"/>
            </w:pPr>
            <w:r>
              <w:rPr>
                <w:sz w:val="22"/>
                <w:szCs w:val="22"/>
              </w:rPr>
              <w:t xml:space="preserve">                                              </w:t>
            </w:r>
          </w:p>
          <w:p w14:paraId="74EC5382" w14:textId="77777777" w:rsidR="001F5CE9" w:rsidRDefault="004B5D01">
            <w:pPr>
              <w:spacing w:before="80" w:after="60"/>
            </w:pPr>
            <w:r>
              <w:rPr>
                <w:b/>
                <w:bCs/>
              </w:rPr>
              <w:t>Date:</w:t>
            </w:r>
          </w:p>
          <w:p w14:paraId="294CA3A1" w14:textId="77777777" w:rsidR="001F5CE9" w:rsidRDefault="004B5D01">
            <w:pPr>
              <w:pBdr>
                <w:bottom w:val="single" w:sz="4" w:space="0" w:color="999999"/>
              </w:pBdr>
              <w:spacing w:after="0"/>
            </w:pPr>
            <w:r>
              <w:rPr>
                <w:sz w:val="22"/>
                <w:szCs w:val="22"/>
              </w:rPr>
              <w:t xml:space="preserve">                                              </w:t>
            </w:r>
          </w:p>
        </w:tc>
        <w:tc>
          <w:tcPr>
            <w:tcW w:w="240" w:type="dxa"/>
            <w:tcBorders>
              <w:top w:val="none" w:sz="0" w:space="0" w:color="FFFFFF"/>
              <w:left w:val="none" w:sz="0" w:space="0" w:color="FFFFFF"/>
              <w:bottom w:val="none" w:sz="0" w:space="0" w:color="FFFFFF"/>
              <w:right w:val="none" w:sz="0" w:space="0" w:color="FFFFFF"/>
            </w:tcBorders>
            <w:shd w:val="clear" w:color="auto" w:fill="FFFFFF"/>
          </w:tcPr>
          <w:p w14:paraId="7C2E25A3" w14:textId="77777777" w:rsidR="001F5CE9" w:rsidRDefault="001F5CE9"/>
        </w:tc>
        <w:tc>
          <w:tcPr>
            <w:tcW w:w="2960"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1166C95E" w14:textId="77777777" w:rsidR="001F5CE9" w:rsidRDefault="004B5D01">
            <w:pPr>
              <w:spacing w:after="300"/>
            </w:pPr>
            <w:r>
              <w:rPr>
                <w:b/>
                <w:bCs/>
                <w:color w:val="1B4332"/>
                <w:sz w:val="21"/>
                <w:szCs w:val="21"/>
              </w:rPr>
              <w:t>PHO / Funder Contact</w:t>
            </w:r>
          </w:p>
          <w:p w14:paraId="2F47C4E3" w14:textId="77777777" w:rsidR="001F5CE9" w:rsidRDefault="004B5D01">
            <w:pPr>
              <w:spacing w:after="80"/>
            </w:pPr>
            <w:r>
              <w:rPr>
                <w:i/>
                <w:iCs/>
                <w:color w:val="8B6914"/>
                <w:highlight w:val="yellow"/>
              </w:rPr>
              <w:t>[Name]</w:t>
            </w:r>
          </w:p>
          <w:p w14:paraId="6F58F29B" w14:textId="77777777" w:rsidR="001F5CE9" w:rsidRDefault="004B5D01">
            <w:pPr>
              <w:spacing w:after="80"/>
            </w:pPr>
            <w:r>
              <w:rPr>
                <w:i/>
                <w:iCs/>
                <w:color w:val="8B6914"/>
                <w:highlight w:val="yellow"/>
              </w:rPr>
              <w:t>[Role / Designation]</w:t>
            </w:r>
          </w:p>
          <w:p w14:paraId="426022B6" w14:textId="77777777" w:rsidR="001F5CE9" w:rsidRDefault="004B5D01">
            <w:pPr>
              <w:spacing w:before="160" w:after="60"/>
            </w:pPr>
            <w:r>
              <w:rPr>
                <w:b/>
                <w:bCs/>
              </w:rPr>
              <w:t>Signature:</w:t>
            </w:r>
          </w:p>
          <w:p w14:paraId="7D208A70" w14:textId="77777777" w:rsidR="001F5CE9" w:rsidRDefault="004B5D01">
            <w:pPr>
              <w:pBdr>
                <w:bottom w:val="single" w:sz="4" w:space="0" w:color="999999"/>
              </w:pBdr>
              <w:spacing w:after="120"/>
            </w:pPr>
            <w:r>
              <w:rPr>
                <w:sz w:val="22"/>
                <w:szCs w:val="22"/>
              </w:rPr>
              <w:t xml:space="preserve">                                              </w:t>
            </w:r>
          </w:p>
          <w:p w14:paraId="646BE139" w14:textId="77777777" w:rsidR="001F5CE9" w:rsidRDefault="004B5D01">
            <w:pPr>
              <w:spacing w:before="80" w:after="60"/>
            </w:pPr>
            <w:r>
              <w:rPr>
                <w:b/>
                <w:bCs/>
              </w:rPr>
              <w:t>Date:</w:t>
            </w:r>
          </w:p>
          <w:p w14:paraId="19AC2F30" w14:textId="77777777" w:rsidR="001F5CE9" w:rsidRDefault="004B5D01">
            <w:pPr>
              <w:pBdr>
                <w:bottom w:val="single" w:sz="4" w:space="0" w:color="999999"/>
              </w:pBdr>
              <w:spacing w:after="0"/>
            </w:pPr>
            <w:r>
              <w:rPr>
                <w:sz w:val="22"/>
                <w:szCs w:val="22"/>
              </w:rPr>
              <w:t xml:space="preserve">                                              </w:t>
            </w:r>
          </w:p>
        </w:tc>
      </w:tr>
    </w:tbl>
    <w:p w14:paraId="3C4287E6" w14:textId="77777777" w:rsidR="001F5CE9" w:rsidRDefault="001F5CE9">
      <w:pPr>
        <w:spacing w:before="240"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CE9" w14:paraId="07B79F96" w14:textId="77777777">
        <w:tc>
          <w:tcPr>
            <w:tcW w:w="9360" w:type="dxa"/>
            <w:tcBorders>
              <w:top w:val="single" w:sz="4" w:space="0" w:color="CCCCCC"/>
              <w:left w:val="single" w:sz="16" w:space="0" w:color="52B788"/>
              <w:bottom w:val="single" w:sz="4" w:space="0" w:color="CCCCCC"/>
              <w:right w:val="none" w:sz="0" w:space="0" w:color="FFFFFF"/>
            </w:tcBorders>
            <w:shd w:val="clear" w:color="auto" w:fill="D8F3DC"/>
            <w:tcMar>
              <w:top w:w="120" w:type="dxa"/>
              <w:left w:w="200" w:type="dxa"/>
              <w:bottom w:w="120" w:type="dxa"/>
              <w:right w:w="200" w:type="dxa"/>
            </w:tcMar>
          </w:tcPr>
          <w:p w14:paraId="5F644850" w14:textId="77777777" w:rsidR="001F5CE9" w:rsidRDefault="004B5D01">
            <w:pPr>
              <w:spacing w:after="80"/>
            </w:pPr>
            <w:r>
              <w:rPr>
                <w:b/>
                <w:bCs/>
                <w:color w:val="1B4332"/>
                <w:sz w:val="21"/>
                <w:szCs w:val="21"/>
              </w:rPr>
              <w:t>For PHO / Funder Use Only</w:t>
            </w:r>
          </w:p>
          <w:p w14:paraId="25370306" w14:textId="77777777" w:rsidR="001F5CE9" w:rsidRDefault="004B5D01">
            <w:pPr>
              <w:spacing w:after="80"/>
            </w:pPr>
            <w:r>
              <w:t>Decision:   ☐ Approved     ☐ Approved with conditions     ☐ Declined     ☐ Deferred pending further information</w:t>
            </w:r>
          </w:p>
          <w:p w14:paraId="4A7BCE7A" w14:textId="77777777" w:rsidR="001F5CE9" w:rsidRDefault="004B5D01">
            <w:pPr>
              <w:spacing w:after="80"/>
            </w:pPr>
            <w:r>
              <w:rPr>
                <w:b/>
                <w:bCs/>
              </w:rPr>
              <w:t xml:space="preserve">Decision Date: </w:t>
            </w:r>
            <w:r>
              <w:rPr>
                <w:i/>
                <w:iCs/>
                <w:color w:val="8B6914"/>
                <w:highlight w:val="yellow"/>
              </w:rPr>
              <w:t>[DD Month YYYY]</w:t>
            </w:r>
          </w:p>
          <w:p w14:paraId="0AACFB3C" w14:textId="77777777" w:rsidR="001F5CE9" w:rsidRDefault="004B5D01">
            <w:pPr>
              <w:spacing w:after="80"/>
            </w:pPr>
            <w:r>
              <w:rPr>
                <w:b/>
                <w:bCs/>
              </w:rPr>
              <w:t xml:space="preserve">Conditions / Notes: </w:t>
            </w:r>
            <w:r>
              <w:rPr>
                <w:i/>
                <w:iCs/>
                <w:color w:val="8B6914"/>
                <w:highlight w:val="yellow"/>
              </w:rPr>
              <w:t>[Any conditions attached to approval, or reasons for decline / deferral]</w:t>
            </w:r>
          </w:p>
          <w:p w14:paraId="292EE944" w14:textId="77777777" w:rsidR="001F5CE9" w:rsidRDefault="004B5D01">
            <w:pPr>
              <w:spacing w:after="0"/>
            </w:pPr>
            <w:r>
              <w:rPr>
                <w:b/>
                <w:bCs/>
              </w:rPr>
              <w:t xml:space="preserve">PHO/Funder Representative: </w:t>
            </w:r>
            <w:r>
              <w:rPr>
                <w:i/>
                <w:iCs/>
                <w:color w:val="8B6914"/>
                <w:highlight w:val="yellow"/>
              </w:rPr>
              <w:t xml:space="preserve">[Name / </w:t>
            </w:r>
            <w:proofErr w:type="gramStart"/>
            <w:r>
              <w:rPr>
                <w:i/>
                <w:iCs/>
                <w:color w:val="8B6914"/>
                <w:highlight w:val="yellow"/>
              </w:rPr>
              <w:t xml:space="preserve">Role]   </w:t>
            </w:r>
            <w:proofErr w:type="gramEnd"/>
            <w:r>
              <w:rPr>
                <w:i/>
                <w:iCs/>
                <w:color w:val="8B6914"/>
                <w:highlight w:val="yellow"/>
              </w:rPr>
              <w:t xml:space="preserve">                              </w:t>
            </w:r>
            <w:r>
              <w:t xml:space="preserve">  Signature: ________________________</w:t>
            </w:r>
          </w:p>
        </w:tc>
      </w:tr>
    </w:tbl>
    <w:p w14:paraId="2A71F4B7" w14:textId="77777777" w:rsidR="001F5CE9" w:rsidRDefault="001F5CE9">
      <w:pPr>
        <w:spacing w:before="200" w:after="200"/>
      </w:pPr>
    </w:p>
    <w:p w14:paraId="70C5E54C" w14:textId="77777777" w:rsidR="001F5CE9" w:rsidRDefault="004B5D01">
      <w:pPr>
        <w:spacing w:before="80" w:after="60"/>
        <w:jc w:val="center"/>
      </w:pPr>
      <w:r>
        <w:rPr>
          <w:i/>
          <w:iCs/>
          <w:color w:val="2D6A4F"/>
          <w:sz w:val="18"/>
          <w:szCs w:val="18"/>
        </w:rPr>
        <w:t>Template developed by Pinnacle MHN | Midlands Health Network</w:t>
      </w:r>
    </w:p>
    <w:p w14:paraId="72FA861F" w14:textId="77777777" w:rsidR="001F5CE9" w:rsidRDefault="004B5D01">
      <w:pPr>
        <w:spacing w:after="60"/>
        <w:jc w:val="center"/>
      </w:pPr>
      <w:r>
        <w:rPr>
          <w:i/>
          <w:iCs/>
          <w:color w:val="888888"/>
          <w:sz w:val="17"/>
          <w:szCs w:val="17"/>
        </w:rPr>
        <w:t xml:space="preserve">Based on real-world POCT implementation experience: South Auckland • </w:t>
      </w:r>
      <w:proofErr w:type="spellStart"/>
      <w:r>
        <w:rPr>
          <w:i/>
          <w:iCs/>
          <w:color w:val="888888"/>
          <w:sz w:val="17"/>
          <w:szCs w:val="17"/>
        </w:rPr>
        <w:t>Turangi</w:t>
      </w:r>
      <w:proofErr w:type="spellEnd"/>
      <w:r>
        <w:rPr>
          <w:i/>
          <w:iCs/>
          <w:color w:val="888888"/>
          <w:sz w:val="17"/>
          <w:szCs w:val="17"/>
        </w:rPr>
        <w:t xml:space="preserve"> • South Taranaki</w:t>
      </w:r>
    </w:p>
    <w:p w14:paraId="0FF85AA9" w14:textId="77777777" w:rsidR="001F5CE9" w:rsidRDefault="004B5D01">
      <w:pPr>
        <w:jc w:val="center"/>
      </w:pPr>
      <w:r>
        <w:rPr>
          <w:i/>
          <w:iCs/>
          <w:color w:val="888888"/>
          <w:sz w:val="17"/>
          <w:szCs w:val="17"/>
        </w:rPr>
        <w:t>For use in POCT workshop | www.pinnaclemidlandshealth.org.nz</w:t>
      </w:r>
    </w:p>
    <w:sectPr w:rsidR="001F5CE9">
      <w:headerReference w:type="default" r:id="rId7"/>
      <w:footerReference w:type="default" r:id="rId8"/>
      <w:pgSz w:w="11906" w:h="16838"/>
      <w:pgMar w:top="1000" w:right="1000" w:bottom="108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C564" w14:textId="77777777" w:rsidR="00D9141A" w:rsidRDefault="00D9141A">
      <w:pPr>
        <w:spacing w:after="0"/>
      </w:pPr>
      <w:r>
        <w:separator/>
      </w:r>
    </w:p>
  </w:endnote>
  <w:endnote w:type="continuationSeparator" w:id="0">
    <w:p w14:paraId="3A0B3B57" w14:textId="77777777" w:rsidR="00D9141A" w:rsidRDefault="00D914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3600"/>
    </w:tblGrid>
    <w:tr w:rsidR="001F5CE9" w14:paraId="47D42ABD" w14:textId="77777777">
      <w:tc>
        <w:tcPr>
          <w:tcW w:w="5760" w:type="dxa"/>
          <w:tcBorders>
            <w:top w:val="single" w:sz="4" w:space="0" w:color="2D6A4F"/>
            <w:left w:val="none" w:sz="0" w:space="0" w:color="FFFFFF"/>
            <w:bottom w:val="none" w:sz="0" w:space="0" w:color="FFFFFF"/>
            <w:right w:val="none" w:sz="0" w:space="0" w:color="FFFFFF"/>
          </w:tcBorders>
        </w:tcPr>
        <w:p w14:paraId="00A035E5" w14:textId="77777777" w:rsidR="001F5CE9" w:rsidRDefault="004B5D01">
          <w:pPr>
            <w:spacing w:before="80"/>
          </w:pPr>
          <w:r>
            <w:rPr>
              <w:b/>
              <w:bCs/>
              <w:color w:val="1B4332"/>
              <w:sz w:val="17"/>
              <w:szCs w:val="17"/>
            </w:rPr>
            <w:t>Developed by Pinnacle MHN | Midlands Health Network</w:t>
          </w:r>
        </w:p>
      </w:tc>
      <w:tc>
        <w:tcPr>
          <w:tcW w:w="3600" w:type="dxa"/>
          <w:tcBorders>
            <w:top w:val="single" w:sz="4" w:space="0" w:color="2D6A4F"/>
            <w:left w:val="none" w:sz="0" w:space="0" w:color="FFFFFF"/>
            <w:bottom w:val="none" w:sz="0" w:space="0" w:color="FFFFFF"/>
            <w:right w:val="none" w:sz="0" w:space="0" w:color="FFFFFF"/>
          </w:tcBorders>
        </w:tcPr>
        <w:p w14:paraId="1D40539B" w14:textId="77777777" w:rsidR="001F5CE9" w:rsidRDefault="004B5D01">
          <w:pPr>
            <w:spacing w:before="80"/>
            <w:jc w:val="right"/>
          </w:pPr>
          <w:r>
            <w:rPr>
              <w:color w:val="666666"/>
              <w:sz w:val="17"/>
              <w:szCs w:val="17"/>
            </w:rPr>
            <w:t xml:space="preserve">Page </w:t>
          </w:r>
          <w:r>
            <w:rPr>
              <w:color w:val="666666"/>
              <w:sz w:val="17"/>
              <w:szCs w:val="17"/>
            </w:rPr>
            <w:fldChar w:fldCharType="begin"/>
          </w:r>
          <w:r>
            <w:rPr>
              <w:color w:val="666666"/>
              <w:sz w:val="17"/>
              <w:szCs w:val="17"/>
            </w:rPr>
            <w:instrText>PAGE</w:instrText>
          </w:r>
          <w:r>
            <w:rPr>
              <w:color w:val="666666"/>
              <w:sz w:val="17"/>
              <w:szCs w:val="17"/>
            </w:rPr>
            <w:fldChar w:fldCharType="separate"/>
          </w:r>
          <w:r w:rsidR="00197C48">
            <w:rPr>
              <w:noProof/>
              <w:color w:val="666666"/>
              <w:sz w:val="17"/>
              <w:szCs w:val="17"/>
            </w:rPr>
            <w:t>1</w:t>
          </w:r>
          <w:r>
            <w:rPr>
              <w:color w:val="666666"/>
              <w:sz w:val="17"/>
              <w:szCs w:val="17"/>
            </w:rPr>
            <w:fldChar w:fldCharType="end"/>
          </w:r>
          <w:r>
            <w:rPr>
              <w:color w:val="666666"/>
              <w:sz w:val="17"/>
              <w:szCs w:val="17"/>
            </w:rPr>
            <w:t xml:space="preserve"> of </w:t>
          </w:r>
          <w:r>
            <w:rPr>
              <w:color w:val="666666"/>
              <w:sz w:val="17"/>
              <w:szCs w:val="17"/>
            </w:rPr>
            <w:fldChar w:fldCharType="begin"/>
          </w:r>
          <w:r>
            <w:rPr>
              <w:color w:val="666666"/>
              <w:sz w:val="17"/>
              <w:szCs w:val="17"/>
            </w:rPr>
            <w:instrText>NUMPAGES</w:instrText>
          </w:r>
          <w:r>
            <w:rPr>
              <w:color w:val="666666"/>
              <w:sz w:val="17"/>
              <w:szCs w:val="17"/>
            </w:rPr>
            <w:fldChar w:fldCharType="separate"/>
          </w:r>
          <w:r w:rsidR="00197C48">
            <w:rPr>
              <w:noProof/>
              <w:color w:val="666666"/>
              <w:sz w:val="17"/>
              <w:szCs w:val="17"/>
            </w:rPr>
            <w:t>2</w:t>
          </w:r>
          <w:r>
            <w:rPr>
              <w:color w:val="666666"/>
              <w:sz w:val="17"/>
              <w:szCs w:val="17"/>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FF932" w14:textId="77777777" w:rsidR="00D9141A" w:rsidRDefault="00D9141A">
      <w:pPr>
        <w:spacing w:after="0"/>
      </w:pPr>
      <w:r>
        <w:separator/>
      </w:r>
    </w:p>
  </w:footnote>
  <w:footnote w:type="continuationSeparator" w:id="0">
    <w:p w14:paraId="3955C4F4" w14:textId="77777777" w:rsidR="00D9141A" w:rsidRDefault="00D914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0"/>
      <w:gridCol w:w="2560"/>
    </w:tblGrid>
    <w:tr w:rsidR="001F5CE9" w14:paraId="3D160163" w14:textId="77777777">
      <w:tc>
        <w:tcPr>
          <w:tcW w:w="6800" w:type="dxa"/>
          <w:tcBorders>
            <w:top w:val="none" w:sz="0" w:space="0" w:color="FFFFFF"/>
            <w:left w:val="none" w:sz="0" w:space="0" w:color="FFFFFF"/>
            <w:bottom w:val="none" w:sz="0" w:space="0" w:color="FFFFFF"/>
            <w:right w:val="none" w:sz="0" w:space="0" w:color="FFFFFF"/>
          </w:tcBorders>
        </w:tcPr>
        <w:p w14:paraId="177CA8B7" w14:textId="77777777" w:rsidR="001F5CE9" w:rsidRDefault="004B5D01">
          <w:r>
            <w:rPr>
              <w:color w:val="888888"/>
              <w:sz w:val="17"/>
              <w:szCs w:val="17"/>
            </w:rPr>
            <w:t>POCT Business Case — General Practice</w:t>
          </w:r>
        </w:p>
      </w:tc>
      <w:tc>
        <w:tcPr>
          <w:tcW w:w="2560" w:type="dxa"/>
          <w:tcBorders>
            <w:top w:val="none" w:sz="0" w:space="0" w:color="FFFFFF"/>
            <w:left w:val="none" w:sz="0" w:space="0" w:color="FFFFFF"/>
            <w:bottom w:val="none" w:sz="0" w:space="0" w:color="FFFFFF"/>
            <w:right w:val="none" w:sz="0" w:space="0" w:color="FFFFFF"/>
          </w:tcBorders>
        </w:tcPr>
        <w:p w14:paraId="24612004" w14:textId="77777777" w:rsidR="001F5CE9" w:rsidRDefault="004B5D01">
          <w:pPr>
            <w:jc w:val="right"/>
          </w:pPr>
          <w:r>
            <w:rPr>
              <w:color w:val="888888"/>
              <w:sz w:val="17"/>
              <w:szCs w:val="17"/>
            </w:rPr>
            <w:t>Pinnacle MHN | Confidential</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91A"/>
    <w:multiLevelType w:val="hybridMultilevel"/>
    <w:tmpl w:val="706C5700"/>
    <w:lvl w:ilvl="0" w:tplc="1CCC0136">
      <w:start w:val="1"/>
      <w:numFmt w:val="bullet"/>
      <w:lvlText w:val="–"/>
      <w:lvlJc w:val="left"/>
      <w:pPr>
        <w:ind w:left="560" w:hanging="280"/>
      </w:pPr>
    </w:lvl>
    <w:lvl w:ilvl="1" w:tplc="ACC4852E">
      <w:numFmt w:val="decimal"/>
      <w:lvlText w:val=""/>
      <w:lvlJc w:val="left"/>
    </w:lvl>
    <w:lvl w:ilvl="2" w:tplc="D8C6A648">
      <w:numFmt w:val="decimal"/>
      <w:lvlText w:val=""/>
      <w:lvlJc w:val="left"/>
    </w:lvl>
    <w:lvl w:ilvl="3" w:tplc="8342DDAA">
      <w:numFmt w:val="decimal"/>
      <w:lvlText w:val=""/>
      <w:lvlJc w:val="left"/>
    </w:lvl>
    <w:lvl w:ilvl="4" w:tplc="68AE3526">
      <w:numFmt w:val="decimal"/>
      <w:lvlText w:val=""/>
      <w:lvlJc w:val="left"/>
    </w:lvl>
    <w:lvl w:ilvl="5" w:tplc="4684BD14">
      <w:numFmt w:val="decimal"/>
      <w:lvlText w:val=""/>
      <w:lvlJc w:val="left"/>
    </w:lvl>
    <w:lvl w:ilvl="6" w:tplc="360CBAC6">
      <w:numFmt w:val="decimal"/>
      <w:lvlText w:val=""/>
      <w:lvlJc w:val="left"/>
    </w:lvl>
    <w:lvl w:ilvl="7" w:tplc="B1708B66">
      <w:numFmt w:val="decimal"/>
      <w:lvlText w:val=""/>
      <w:lvlJc w:val="left"/>
    </w:lvl>
    <w:lvl w:ilvl="8" w:tplc="5CCC7B8C">
      <w:numFmt w:val="decimal"/>
      <w:lvlText w:val=""/>
      <w:lvlJc w:val="left"/>
    </w:lvl>
  </w:abstractNum>
  <w:abstractNum w:abstractNumId="1" w15:restartNumberingAfterBreak="0">
    <w:nsid w:val="0ED11B67"/>
    <w:multiLevelType w:val="hybridMultilevel"/>
    <w:tmpl w:val="D0FE2602"/>
    <w:lvl w:ilvl="0" w:tplc="6744FB0E">
      <w:start w:val="1"/>
      <w:numFmt w:val="bullet"/>
      <w:lvlText w:val="●"/>
      <w:lvlJc w:val="left"/>
      <w:pPr>
        <w:ind w:left="720" w:hanging="360"/>
      </w:pPr>
    </w:lvl>
    <w:lvl w:ilvl="1" w:tplc="048A8522">
      <w:start w:val="1"/>
      <w:numFmt w:val="bullet"/>
      <w:lvlText w:val="○"/>
      <w:lvlJc w:val="left"/>
      <w:pPr>
        <w:ind w:left="1440" w:hanging="360"/>
      </w:pPr>
    </w:lvl>
    <w:lvl w:ilvl="2" w:tplc="C8981020">
      <w:start w:val="1"/>
      <w:numFmt w:val="bullet"/>
      <w:lvlText w:val="■"/>
      <w:lvlJc w:val="left"/>
      <w:pPr>
        <w:ind w:left="2160" w:hanging="360"/>
      </w:pPr>
    </w:lvl>
    <w:lvl w:ilvl="3" w:tplc="11B0E6DC">
      <w:start w:val="1"/>
      <w:numFmt w:val="bullet"/>
      <w:lvlText w:val="●"/>
      <w:lvlJc w:val="left"/>
      <w:pPr>
        <w:ind w:left="2880" w:hanging="360"/>
      </w:pPr>
    </w:lvl>
    <w:lvl w:ilvl="4" w:tplc="357E712E">
      <w:start w:val="1"/>
      <w:numFmt w:val="bullet"/>
      <w:lvlText w:val="○"/>
      <w:lvlJc w:val="left"/>
      <w:pPr>
        <w:ind w:left="3600" w:hanging="360"/>
      </w:pPr>
    </w:lvl>
    <w:lvl w:ilvl="5" w:tplc="51547B66">
      <w:start w:val="1"/>
      <w:numFmt w:val="bullet"/>
      <w:lvlText w:val="■"/>
      <w:lvlJc w:val="left"/>
      <w:pPr>
        <w:ind w:left="4320" w:hanging="360"/>
      </w:pPr>
    </w:lvl>
    <w:lvl w:ilvl="6" w:tplc="59CC7D24">
      <w:start w:val="1"/>
      <w:numFmt w:val="bullet"/>
      <w:lvlText w:val="●"/>
      <w:lvlJc w:val="left"/>
      <w:pPr>
        <w:ind w:left="5040" w:hanging="360"/>
      </w:pPr>
    </w:lvl>
    <w:lvl w:ilvl="7" w:tplc="5DEE10EC">
      <w:start w:val="1"/>
      <w:numFmt w:val="bullet"/>
      <w:lvlText w:val="●"/>
      <w:lvlJc w:val="left"/>
      <w:pPr>
        <w:ind w:left="5760" w:hanging="360"/>
      </w:pPr>
    </w:lvl>
    <w:lvl w:ilvl="8" w:tplc="AB100EBA">
      <w:start w:val="1"/>
      <w:numFmt w:val="bullet"/>
      <w:lvlText w:val="●"/>
      <w:lvlJc w:val="left"/>
      <w:pPr>
        <w:ind w:left="6480" w:hanging="360"/>
      </w:pPr>
    </w:lvl>
  </w:abstractNum>
  <w:abstractNum w:abstractNumId="2" w15:restartNumberingAfterBreak="0">
    <w:nsid w:val="2C660D5D"/>
    <w:multiLevelType w:val="hybridMultilevel"/>
    <w:tmpl w:val="AFD653DE"/>
    <w:lvl w:ilvl="0" w:tplc="C23AD360">
      <w:start w:val="1"/>
      <w:numFmt w:val="bullet"/>
      <w:lvlText w:val="•"/>
      <w:lvlJc w:val="left"/>
      <w:pPr>
        <w:ind w:left="560" w:hanging="280"/>
      </w:pPr>
    </w:lvl>
    <w:lvl w:ilvl="1" w:tplc="C2DE3392">
      <w:numFmt w:val="decimal"/>
      <w:lvlText w:val=""/>
      <w:lvlJc w:val="left"/>
    </w:lvl>
    <w:lvl w:ilvl="2" w:tplc="B1406394">
      <w:numFmt w:val="decimal"/>
      <w:lvlText w:val=""/>
      <w:lvlJc w:val="left"/>
    </w:lvl>
    <w:lvl w:ilvl="3" w:tplc="BF0EF3C4">
      <w:numFmt w:val="decimal"/>
      <w:lvlText w:val=""/>
      <w:lvlJc w:val="left"/>
    </w:lvl>
    <w:lvl w:ilvl="4" w:tplc="6A20A3C6">
      <w:numFmt w:val="decimal"/>
      <w:lvlText w:val=""/>
      <w:lvlJc w:val="left"/>
    </w:lvl>
    <w:lvl w:ilvl="5" w:tplc="8DF09C00">
      <w:numFmt w:val="decimal"/>
      <w:lvlText w:val=""/>
      <w:lvlJc w:val="left"/>
    </w:lvl>
    <w:lvl w:ilvl="6" w:tplc="2DB830D4">
      <w:numFmt w:val="decimal"/>
      <w:lvlText w:val=""/>
      <w:lvlJc w:val="left"/>
    </w:lvl>
    <w:lvl w:ilvl="7" w:tplc="910AAE94">
      <w:numFmt w:val="decimal"/>
      <w:lvlText w:val=""/>
      <w:lvlJc w:val="left"/>
    </w:lvl>
    <w:lvl w:ilvl="8" w:tplc="D744E328">
      <w:numFmt w:val="decimal"/>
      <w:lvlText w:val=""/>
      <w:lvlJc w:val="left"/>
    </w:lvl>
  </w:abstractNum>
  <w:num w:numId="1" w16cid:durableId="511409508">
    <w:abstractNumId w:val="1"/>
    <w:lvlOverride w:ilvl="0">
      <w:startOverride w:val="1"/>
    </w:lvlOverride>
  </w:num>
  <w:num w:numId="2" w16cid:durableId="897210872">
    <w:abstractNumId w:val="2"/>
    <w:lvlOverride w:ilvl="0">
      <w:startOverride w:val="1"/>
    </w:lvlOverride>
  </w:num>
  <w:num w:numId="3" w16cid:durableId="1024290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E9"/>
    <w:rsid w:val="001714B3"/>
    <w:rsid w:val="00197C48"/>
    <w:rsid w:val="001F5CE9"/>
    <w:rsid w:val="0027258D"/>
    <w:rsid w:val="004B5D01"/>
    <w:rsid w:val="00AD6AF0"/>
    <w:rsid w:val="00D9141A"/>
    <w:rsid w:val="00E956F4"/>
    <w:rsid w:val="00F0608C"/>
    <w:rsid w:val="01736CFA"/>
    <w:rsid w:val="058103E9"/>
    <w:rsid w:val="059889B9"/>
    <w:rsid w:val="09FA2CEA"/>
    <w:rsid w:val="0BE44793"/>
    <w:rsid w:val="0E362BBE"/>
    <w:rsid w:val="15E3A135"/>
    <w:rsid w:val="1BA05E49"/>
    <w:rsid w:val="1CDE47B6"/>
    <w:rsid w:val="277EBCEF"/>
    <w:rsid w:val="2869783B"/>
    <w:rsid w:val="29BB86B2"/>
    <w:rsid w:val="384EFAA3"/>
    <w:rsid w:val="3B50B722"/>
    <w:rsid w:val="4059A8EA"/>
    <w:rsid w:val="44B1DD90"/>
    <w:rsid w:val="50F75DD4"/>
    <w:rsid w:val="52AFC8BD"/>
    <w:rsid w:val="5FED7434"/>
    <w:rsid w:val="6256D9DC"/>
    <w:rsid w:val="63ABAD1E"/>
    <w:rsid w:val="6AF9CB32"/>
    <w:rsid w:val="6B96010B"/>
    <w:rsid w:val="6ED5D0DF"/>
    <w:rsid w:val="7AF94F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F10E"/>
  <w15:docId w15:val="{CF91D0C0-E08E-2C43-BB52-4D9E7F3D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en-NZ" w:eastAsia="en-GB"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1B4332"/>
      <w:sz w:val="28"/>
      <w:szCs w:val="28"/>
    </w:rPr>
  </w:style>
  <w:style w:type="paragraph" w:styleId="Heading2">
    <w:name w:val="heading 2"/>
    <w:uiPriority w:val="9"/>
    <w:unhideWhenUsed/>
    <w:qFormat/>
    <w:pPr>
      <w:spacing w:before="200"/>
      <w:outlineLvl w:val="1"/>
    </w:pPr>
    <w:rPr>
      <w:b/>
      <w:bCs/>
      <w:color w:val="2D6A4F"/>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3086</Words>
  <Characters>18935</Characters>
  <Application>Microsoft Office Word</Application>
  <DocSecurity>0</DocSecurity>
  <Lines>703</Lines>
  <Paragraphs>373</Paragraphs>
  <ScaleCrop>false</ScaleCrop>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Katie Latimer</cp:lastModifiedBy>
  <cp:revision>5</cp:revision>
  <dcterms:created xsi:type="dcterms:W3CDTF">2026-05-01T16:16:00Z</dcterms:created>
  <dcterms:modified xsi:type="dcterms:W3CDTF">2026-05-04T00:31:00Z</dcterms:modified>
</cp:coreProperties>
</file>